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99D88" w14:textId="71EF930C" w:rsidR="007D7029" w:rsidRPr="00E605C5" w:rsidRDefault="00E605C5" w:rsidP="00AA0346">
      <w:pPr>
        <w:spacing w:after="100" w:afterAutospacing="1" w:line="271" w:lineRule="auto"/>
        <w:jc w:val="both"/>
        <w:rPr>
          <w:rFonts w:ascii="Elsevier Sans" w:hAnsi="Elsevier Sans"/>
          <w:b/>
          <w:bCs/>
          <w:color w:val="1F3864" w:themeColor="accent1" w:themeShade="80"/>
          <w:sz w:val="30"/>
          <w:szCs w:val="36"/>
        </w:rPr>
      </w:pPr>
      <w:r w:rsidRPr="00E605C5">
        <w:rPr>
          <w:rFonts w:ascii="Elsevier Sans" w:hAnsi="Elsevier Sans"/>
          <w:b/>
          <w:bCs/>
          <w:color w:val="1F3864" w:themeColor="accent1" w:themeShade="80"/>
          <w:sz w:val="30"/>
          <w:szCs w:val="36"/>
        </w:rPr>
        <w:t>Leveraging AI and Machine Learning for Advancing Marketing Research and Practice</w:t>
      </w:r>
    </w:p>
    <w:p w14:paraId="6E42C760" w14:textId="18B98974" w:rsidR="00E605C5" w:rsidRPr="00F86180" w:rsidRDefault="00580AC1" w:rsidP="00E605C5">
      <w:pPr>
        <w:jc w:val="both"/>
        <w:rPr>
          <w:rFonts w:ascii="Elsevier Sans" w:hAnsi="Elsevier Sans" w:cs="Arial"/>
          <w:b/>
          <w:bCs/>
          <w:sz w:val="20"/>
          <w:szCs w:val="18"/>
          <w:lang w:val="en-US"/>
        </w:rPr>
      </w:pPr>
      <w:r w:rsidRPr="00580AC1">
        <w:rPr>
          <w:rFonts w:ascii="Elsevier Sans" w:hAnsi="Elsevier Sans" w:cs="Arial"/>
          <w:b/>
          <w:bCs/>
          <w:sz w:val="20"/>
          <w:szCs w:val="18"/>
          <w:lang w:val="en-US"/>
        </w:rPr>
        <w:t xml:space="preserve">Claude </w:t>
      </w:r>
      <w:proofErr w:type="spellStart"/>
      <w:r w:rsidRPr="00580AC1">
        <w:rPr>
          <w:rFonts w:ascii="Elsevier Sans" w:hAnsi="Elsevier Sans" w:cs="Arial"/>
          <w:b/>
          <w:bCs/>
          <w:sz w:val="20"/>
          <w:szCs w:val="18"/>
          <w:lang w:val="en-US"/>
        </w:rPr>
        <w:t>Assun</w:t>
      </w:r>
      <w:r>
        <w:rPr>
          <w:rFonts w:ascii="Elsevier Sans" w:hAnsi="Elsevier Sans" w:cs="Arial"/>
          <w:b/>
          <w:bCs/>
          <w:sz w:val="20"/>
          <w:szCs w:val="18"/>
          <w:lang w:val="en-US"/>
        </w:rPr>
        <w:t>t</w:t>
      </w:r>
      <w:proofErr w:type="spellEnd"/>
      <w:r w:rsidR="00D00A30">
        <w:rPr>
          <w:rFonts w:ascii="Elsevier Sans" w:hAnsi="Elsevier Sans" w:cs="Arial"/>
          <w:b/>
          <w:bCs/>
          <w:sz w:val="20"/>
          <w:szCs w:val="18"/>
          <w:lang w:val="en-US"/>
        </w:rPr>
        <w:t xml:space="preserve"> </w:t>
      </w:r>
      <w:r w:rsidR="00DC663C">
        <w:rPr>
          <w:rFonts w:ascii="Elsevier Sans" w:hAnsi="Elsevier Sans" w:cs="Arial"/>
          <w:b/>
          <w:bCs/>
          <w:sz w:val="20"/>
          <w:szCs w:val="18"/>
          <w:lang w:val="en-US"/>
        </w:rPr>
        <w:t>M</w:t>
      </w:r>
      <w:r w:rsidR="00E605C5" w:rsidRPr="00F86180">
        <w:rPr>
          <w:rFonts w:ascii="Elsevier Sans" w:hAnsi="Elsevier Sans" w:cs="Arial"/>
          <w:b/>
          <w:bCs/>
          <w:sz w:val="20"/>
          <w:szCs w:val="18"/>
          <w:lang w:val="en-US"/>
        </w:rPr>
        <w:t xml:space="preserve"> </w:t>
      </w:r>
      <w:r w:rsidR="00DC663C">
        <w:rPr>
          <w:rFonts w:ascii="Elsevier Sans" w:hAnsi="Elsevier Sans" w:cs="Arial"/>
          <w:b/>
          <w:bCs/>
          <w:sz w:val="20"/>
          <w:szCs w:val="18"/>
          <w:vertAlign w:val="superscript"/>
          <w:lang w:val="en-US"/>
        </w:rPr>
        <w:t>a</w:t>
      </w:r>
      <w:r w:rsidR="00E605C5" w:rsidRPr="00F86180">
        <w:rPr>
          <w:rFonts w:ascii="Elsevier Sans" w:hAnsi="Elsevier Sans" w:cs="Arial"/>
          <w:b/>
          <w:bCs/>
          <w:sz w:val="20"/>
          <w:szCs w:val="18"/>
          <w:vertAlign w:val="superscript"/>
          <w:lang w:val="en-US"/>
        </w:rPr>
        <w:t xml:space="preserve"> </w:t>
      </w:r>
      <w:r w:rsidR="00E605C5" w:rsidRPr="00F86180">
        <w:rPr>
          <w:rFonts w:ascii="Elsevier Sans" w:hAnsi="Elsevier Sans" w:cs="Arial"/>
          <w:b/>
          <w:bCs/>
          <w:noProof/>
          <w:sz w:val="20"/>
          <w:szCs w:val="20"/>
        </w:rPr>
        <w:drawing>
          <wp:inline distT="0" distB="0" distL="0" distR="0" wp14:anchorId="6386179B" wp14:editId="20179D77">
            <wp:extent cx="110880" cy="110880"/>
            <wp:effectExtent l="0" t="0" r="3810" b="3810"/>
            <wp:docPr id="64572933" name="Picture 6457293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2933" name="Picture 64572933">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908" cy="119908"/>
                    </a:xfrm>
                    <a:prstGeom prst="rect">
                      <a:avLst/>
                    </a:prstGeom>
                    <a:noFill/>
                  </pic:spPr>
                </pic:pic>
              </a:graphicData>
            </a:graphic>
          </wp:inline>
        </w:drawing>
      </w:r>
      <w:r w:rsidR="00E605C5" w:rsidRPr="00F86180">
        <w:rPr>
          <w:rFonts w:ascii="Elsevier Sans" w:hAnsi="Elsevier Sans" w:cs="Arial"/>
          <w:b/>
          <w:bCs/>
          <w:sz w:val="20"/>
          <w:szCs w:val="18"/>
          <w:lang w:val="id-ID"/>
        </w:rPr>
        <w:t xml:space="preserve">, </w:t>
      </w:r>
      <w:proofErr w:type="spellStart"/>
      <w:r w:rsidRPr="00580AC1">
        <w:rPr>
          <w:rFonts w:ascii="Elsevier Sans" w:hAnsi="Elsevier Sans" w:cs="Arial"/>
          <w:b/>
          <w:bCs/>
          <w:sz w:val="20"/>
          <w:szCs w:val="18"/>
          <w:lang w:val="en-US"/>
        </w:rPr>
        <w:t>Nhat</w:t>
      </w:r>
      <w:proofErr w:type="spellEnd"/>
      <w:r>
        <w:rPr>
          <w:rFonts w:ascii="Elsevier Sans" w:hAnsi="Elsevier Sans" w:cs="Arial"/>
          <w:b/>
          <w:bCs/>
          <w:sz w:val="20"/>
          <w:szCs w:val="18"/>
          <w:lang w:val="en-US"/>
        </w:rPr>
        <w:t xml:space="preserve"> </w:t>
      </w:r>
      <w:proofErr w:type="spellStart"/>
      <w:r w:rsidRPr="00580AC1">
        <w:rPr>
          <w:rFonts w:ascii="Elsevier Sans" w:hAnsi="Elsevier Sans" w:cs="Arial"/>
          <w:b/>
          <w:bCs/>
          <w:sz w:val="20"/>
          <w:szCs w:val="18"/>
          <w:lang w:val="en-US"/>
        </w:rPr>
        <w:t>Jus</w:t>
      </w:r>
      <w:r>
        <w:rPr>
          <w:rFonts w:ascii="Elsevier Sans" w:hAnsi="Elsevier Sans" w:cs="Arial"/>
          <w:b/>
          <w:bCs/>
          <w:sz w:val="20"/>
          <w:szCs w:val="18"/>
          <w:lang w:val="en-US"/>
        </w:rPr>
        <w:t>chop</w:t>
      </w:r>
      <w:proofErr w:type="spellEnd"/>
      <w:r w:rsidR="00E605C5" w:rsidRPr="00F86180">
        <w:rPr>
          <w:rFonts w:ascii="Elsevier Sans" w:hAnsi="Elsevier Sans" w:cs="Arial"/>
          <w:b/>
          <w:bCs/>
          <w:sz w:val="20"/>
          <w:szCs w:val="18"/>
          <w:lang w:val="en-US"/>
        </w:rPr>
        <w:t xml:space="preserve"> </w:t>
      </w:r>
      <w:r w:rsidR="00DC663C">
        <w:rPr>
          <w:rFonts w:ascii="Elsevier Sans" w:hAnsi="Elsevier Sans" w:cs="Arial"/>
          <w:b/>
          <w:bCs/>
          <w:sz w:val="20"/>
          <w:szCs w:val="18"/>
          <w:vertAlign w:val="superscript"/>
          <w:lang w:val="en-US"/>
        </w:rPr>
        <w:t>b</w:t>
      </w:r>
      <w:r w:rsidR="00E605C5" w:rsidRPr="00F86180">
        <w:rPr>
          <w:rFonts w:ascii="Elsevier Sans" w:hAnsi="Elsevier Sans" w:cs="Arial"/>
          <w:b/>
          <w:bCs/>
          <w:sz w:val="20"/>
          <w:szCs w:val="18"/>
          <w:vertAlign w:val="superscript"/>
          <w:lang w:val="en-US"/>
        </w:rPr>
        <w:t xml:space="preserve"> </w:t>
      </w:r>
      <w:r w:rsidR="00E605C5" w:rsidRPr="00F86180">
        <w:rPr>
          <w:rFonts w:ascii="Elsevier Sans" w:hAnsi="Elsevier Sans" w:cs="Arial"/>
          <w:b/>
          <w:bCs/>
          <w:noProof/>
          <w:sz w:val="20"/>
          <w:szCs w:val="20"/>
        </w:rPr>
        <w:drawing>
          <wp:inline distT="0" distB="0" distL="0" distR="0" wp14:anchorId="1EC4D257" wp14:editId="7FC61C35">
            <wp:extent cx="110880" cy="110880"/>
            <wp:effectExtent l="0" t="0" r="3810" b="3810"/>
            <wp:docPr id="2"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908" cy="119908"/>
                    </a:xfrm>
                    <a:prstGeom prst="rect">
                      <a:avLst/>
                    </a:prstGeom>
                    <a:noFill/>
                  </pic:spPr>
                </pic:pic>
              </a:graphicData>
            </a:graphic>
          </wp:inline>
        </w:drawing>
      </w:r>
    </w:p>
    <w:p w14:paraId="12E78EE9" w14:textId="03D598CD" w:rsidR="00E605C5" w:rsidRPr="0030473D" w:rsidRDefault="00E605C5" w:rsidP="00E605C5">
      <w:pPr>
        <w:pStyle w:val="ListParagraph"/>
        <w:numPr>
          <w:ilvl w:val="0"/>
          <w:numId w:val="1"/>
        </w:numPr>
        <w:ind w:left="142" w:hanging="142"/>
        <w:jc w:val="both"/>
        <w:rPr>
          <w:rFonts w:ascii="Elsevier Sans" w:hAnsi="Elsevier Sans"/>
          <w:i/>
          <w:iCs/>
          <w:sz w:val="16"/>
          <w:szCs w:val="14"/>
        </w:rPr>
      </w:pPr>
      <w:r w:rsidRPr="0030473D">
        <w:rPr>
          <w:rFonts w:ascii="Elsevier Sans" w:hAnsi="Elsevier Sans"/>
          <w:i/>
          <w:iCs/>
          <w:sz w:val="16"/>
          <w:szCs w:val="14"/>
        </w:rPr>
        <w:t>School of Business of University of Maryland, College Park, United States of America</w:t>
      </w:r>
    </w:p>
    <w:p w14:paraId="58623CD0" w14:textId="69CC5350" w:rsidR="00E605C5" w:rsidRPr="0030473D" w:rsidRDefault="00BC1C62" w:rsidP="00BC1C62">
      <w:pPr>
        <w:pStyle w:val="ListParagraph"/>
        <w:numPr>
          <w:ilvl w:val="0"/>
          <w:numId w:val="1"/>
        </w:numPr>
        <w:ind w:left="142" w:hanging="142"/>
        <w:jc w:val="both"/>
        <w:rPr>
          <w:rFonts w:ascii="Elsevier Sans" w:hAnsi="Elsevier Sans"/>
          <w:i/>
          <w:iCs/>
          <w:sz w:val="16"/>
          <w:szCs w:val="14"/>
        </w:rPr>
      </w:pPr>
      <w:r w:rsidRPr="0030473D">
        <w:rPr>
          <w:rFonts w:ascii="Elsevier Sans" w:hAnsi="Elsevier Sans"/>
          <w:i/>
          <w:iCs/>
          <w:sz w:val="16"/>
          <w:szCs w:val="14"/>
        </w:rPr>
        <w:t>Central Queensland University, Spencer Street, Melbourne 300, Australia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7"/>
        <w:gridCol w:w="283"/>
        <w:gridCol w:w="7786"/>
      </w:tblGrid>
      <w:tr w:rsidR="00E605C5" w14:paraId="47BAEBCF" w14:textId="77777777" w:rsidTr="00497564">
        <w:trPr>
          <w:trHeight w:val="201"/>
        </w:trPr>
        <w:tc>
          <w:tcPr>
            <w:tcW w:w="2127" w:type="dxa"/>
          </w:tcPr>
          <w:p w14:paraId="4BC3CBEE" w14:textId="77777777" w:rsidR="00E605C5" w:rsidRPr="006E7C85" w:rsidRDefault="00E605C5" w:rsidP="00497564">
            <w:pPr>
              <w:spacing w:before="80" w:after="80" w:line="271" w:lineRule="auto"/>
              <w:jc w:val="both"/>
              <w:rPr>
                <w:rFonts w:ascii="Gulliver" w:hAnsi="Gulliver"/>
                <w:b/>
                <w:bCs/>
                <w:sz w:val="18"/>
                <w:szCs w:val="18"/>
              </w:rPr>
            </w:pPr>
            <w:r w:rsidRPr="006E7C85">
              <w:rPr>
                <w:rFonts w:ascii="Gulliver" w:eastAsia="Times New Roman" w:hAnsi="Gulliver" w:cs="Times New Roman"/>
                <w:b/>
                <w:bCs/>
                <w:spacing w:val="21"/>
                <w:sz w:val="18"/>
                <w:szCs w:val="18"/>
              </w:rPr>
              <w:t>A</w:t>
            </w:r>
            <w:r w:rsidRPr="006E7C85">
              <w:rPr>
                <w:rFonts w:ascii="Gulliver" w:eastAsia="Times New Roman" w:hAnsi="Gulliver" w:cs="Times New Roman"/>
                <w:b/>
                <w:bCs/>
                <w:spacing w:val="-5"/>
                <w:sz w:val="18"/>
                <w:szCs w:val="18"/>
              </w:rPr>
              <w:t xml:space="preserve"> </w:t>
            </w:r>
            <w:r w:rsidRPr="006E7C85">
              <w:rPr>
                <w:rFonts w:ascii="Gulliver" w:eastAsia="Times New Roman" w:hAnsi="Gulliver" w:cs="Times New Roman"/>
                <w:b/>
                <w:bCs/>
                <w:spacing w:val="21"/>
                <w:sz w:val="18"/>
                <w:szCs w:val="18"/>
              </w:rPr>
              <w:t>R</w:t>
            </w:r>
            <w:r w:rsidRPr="006E7C85">
              <w:rPr>
                <w:rFonts w:ascii="Gulliver" w:eastAsia="Times New Roman" w:hAnsi="Gulliver" w:cs="Times New Roman"/>
                <w:b/>
                <w:bCs/>
                <w:spacing w:val="-5"/>
                <w:sz w:val="18"/>
                <w:szCs w:val="18"/>
              </w:rPr>
              <w:t xml:space="preserve"> </w:t>
            </w:r>
            <w:r w:rsidRPr="006E7C85">
              <w:rPr>
                <w:rFonts w:ascii="Gulliver" w:eastAsia="Times New Roman" w:hAnsi="Gulliver" w:cs="Times New Roman"/>
                <w:b/>
                <w:bCs/>
                <w:spacing w:val="21"/>
                <w:sz w:val="18"/>
                <w:szCs w:val="18"/>
              </w:rPr>
              <w:t>T</w:t>
            </w:r>
            <w:r w:rsidRPr="006E7C85">
              <w:rPr>
                <w:rFonts w:ascii="Gulliver" w:eastAsia="Times New Roman" w:hAnsi="Gulliver" w:cs="Times New Roman"/>
                <w:b/>
                <w:bCs/>
                <w:spacing w:val="-4"/>
                <w:sz w:val="18"/>
                <w:szCs w:val="18"/>
              </w:rPr>
              <w:t xml:space="preserve"> </w:t>
            </w:r>
            <w:r w:rsidRPr="006E7C85">
              <w:rPr>
                <w:rFonts w:ascii="Gulliver" w:eastAsia="Times New Roman" w:hAnsi="Gulliver" w:cs="Times New Roman"/>
                <w:b/>
                <w:bCs/>
                <w:spacing w:val="21"/>
                <w:sz w:val="18"/>
                <w:szCs w:val="18"/>
              </w:rPr>
              <w:t>I</w:t>
            </w:r>
            <w:r w:rsidRPr="006E7C85">
              <w:rPr>
                <w:rFonts w:ascii="Gulliver" w:eastAsia="Times New Roman" w:hAnsi="Gulliver" w:cs="Times New Roman"/>
                <w:b/>
                <w:bCs/>
                <w:spacing w:val="-2"/>
                <w:sz w:val="18"/>
                <w:szCs w:val="18"/>
              </w:rPr>
              <w:t xml:space="preserve"> </w:t>
            </w:r>
            <w:r w:rsidRPr="006E7C85">
              <w:rPr>
                <w:rFonts w:ascii="Gulliver" w:eastAsia="Times New Roman" w:hAnsi="Gulliver" w:cs="Times New Roman"/>
                <w:b/>
                <w:bCs/>
                <w:sz w:val="18"/>
                <w:szCs w:val="18"/>
              </w:rPr>
              <w:t>C</w:t>
            </w:r>
            <w:r w:rsidRPr="006E7C85">
              <w:rPr>
                <w:rFonts w:ascii="Gulliver" w:eastAsia="Times New Roman" w:hAnsi="Gulliver" w:cs="Times New Roman"/>
                <w:b/>
                <w:bCs/>
                <w:spacing w:val="17"/>
                <w:sz w:val="18"/>
                <w:szCs w:val="18"/>
              </w:rPr>
              <w:t xml:space="preserve"> </w:t>
            </w:r>
            <w:r w:rsidRPr="006E7C85">
              <w:rPr>
                <w:rFonts w:ascii="Gulliver" w:eastAsia="Times New Roman" w:hAnsi="Gulliver" w:cs="Times New Roman"/>
                <w:b/>
                <w:bCs/>
                <w:sz w:val="18"/>
                <w:szCs w:val="18"/>
              </w:rPr>
              <w:t>L</w:t>
            </w:r>
            <w:r w:rsidRPr="006E7C85">
              <w:rPr>
                <w:rFonts w:ascii="Gulliver" w:eastAsia="Times New Roman" w:hAnsi="Gulliver" w:cs="Times New Roman"/>
                <w:b/>
                <w:bCs/>
                <w:spacing w:val="8"/>
                <w:sz w:val="18"/>
                <w:szCs w:val="18"/>
              </w:rPr>
              <w:t xml:space="preserve"> </w:t>
            </w:r>
            <w:r w:rsidRPr="006E7C85">
              <w:rPr>
                <w:rFonts w:ascii="Gulliver" w:eastAsia="Times New Roman" w:hAnsi="Gulliver" w:cs="Times New Roman"/>
                <w:b/>
                <w:bCs/>
                <w:sz w:val="18"/>
                <w:szCs w:val="18"/>
              </w:rPr>
              <w:t xml:space="preserve">E  </w:t>
            </w:r>
            <w:r w:rsidRPr="006E7C85">
              <w:rPr>
                <w:rFonts w:ascii="Gulliver" w:eastAsia="Times New Roman" w:hAnsi="Gulliver" w:cs="Times New Roman"/>
                <w:b/>
                <w:bCs/>
                <w:spacing w:val="28"/>
                <w:sz w:val="18"/>
                <w:szCs w:val="18"/>
              </w:rPr>
              <w:t xml:space="preserve"> </w:t>
            </w:r>
            <w:r w:rsidRPr="006E7C85">
              <w:rPr>
                <w:rFonts w:ascii="Gulliver" w:eastAsia="Times New Roman" w:hAnsi="Gulliver" w:cs="Times New Roman"/>
                <w:b/>
                <w:bCs/>
                <w:sz w:val="18"/>
                <w:szCs w:val="18"/>
              </w:rPr>
              <w:t>I</w:t>
            </w:r>
            <w:r w:rsidRPr="006E7C85">
              <w:rPr>
                <w:rFonts w:ascii="Gulliver" w:eastAsia="Times New Roman" w:hAnsi="Gulliver" w:cs="Times New Roman"/>
                <w:b/>
                <w:bCs/>
                <w:spacing w:val="20"/>
                <w:sz w:val="18"/>
                <w:szCs w:val="18"/>
              </w:rPr>
              <w:t xml:space="preserve"> </w:t>
            </w:r>
            <w:r w:rsidRPr="006E7C85">
              <w:rPr>
                <w:rFonts w:ascii="Gulliver" w:eastAsia="Times New Roman" w:hAnsi="Gulliver" w:cs="Times New Roman"/>
                <w:b/>
                <w:bCs/>
                <w:spacing w:val="21"/>
                <w:sz w:val="18"/>
                <w:szCs w:val="18"/>
              </w:rPr>
              <w:t>N</w:t>
            </w:r>
            <w:r w:rsidRPr="006E7C85">
              <w:rPr>
                <w:rFonts w:ascii="Gulliver" w:eastAsia="Times New Roman" w:hAnsi="Gulliver" w:cs="Times New Roman"/>
                <w:b/>
                <w:bCs/>
                <w:spacing w:val="-2"/>
                <w:sz w:val="18"/>
                <w:szCs w:val="18"/>
              </w:rPr>
              <w:t xml:space="preserve"> </w:t>
            </w:r>
            <w:r w:rsidRPr="006E7C85">
              <w:rPr>
                <w:rFonts w:ascii="Gulliver" w:eastAsia="Times New Roman" w:hAnsi="Gulliver" w:cs="Times New Roman"/>
                <w:b/>
                <w:bCs/>
                <w:sz w:val="18"/>
                <w:szCs w:val="18"/>
              </w:rPr>
              <w:t>F</w:t>
            </w:r>
            <w:r w:rsidRPr="006E7C85">
              <w:rPr>
                <w:rFonts w:ascii="Gulliver" w:eastAsia="Times New Roman" w:hAnsi="Gulliver" w:cs="Times New Roman"/>
                <w:b/>
                <w:bCs/>
                <w:spacing w:val="18"/>
                <w:sz w:val="18"/>
                <w:szCs w:val="18"/>
              </w:rPr>
              <w:t xml:space="preserve"> </w:t>
            </w:r>
            <w:r w:rsidRPr="006E7C85">
              <w:rPr>
                <w:rFonts w:ascii="Gulliver" w:eastAsia="Times New Roman" w:hAnsi="Gulliver" w:cs="Times New Roman"/>
                <w:b/>
                <w:bCs/>
                <w:sz w:val="18"/>
                <w:szCs w:val="18"/>
              </w:rPr>
              <w:t>O</w:t>
            </w:r>
          </w:p>
        </w:tc>
        <w:tc>
          <w:tcPr>
            <w:tcW w:w="283" w:type="dxa"/>
          </w:tcPr>
          <w:p w14:paraId="31735788" w14:textId="77777777" w:rsidR="00E605C5" w:rsidRPr="006E7C85" w:rsidRDefault="00E605C5" w:rsidP="00497564">
            <w:pPr>
              <w:spacing w:before="100" w:after="100" w:line="271" w:lineRule="auto"/>
              <w:jc w:val="both"/>
              <w:rPr>
                <w:rFonts w:ascii="Times New Roman" w:eastAsia="Times New Roman" w:hAnsi="Times New Roman" w:cs="Times New Roman"/>
                <w:b/>
                <w:bCs/>
                <w:spacing w:val="21"/>
                <w:sz w:val="18"/>
                <w:szCs w:val="18"/>
              </w:rPr>
            </w:pPr>
          </w:p>
        </w:tc>
        <w:tc>
          <w:tcPr>
            <w:tcW w:w="7786" w:type="dxa"/>
          </w:tcPr>
          <w:p w14:paraId="30F1CFBA" w14:textId="77777777" w:rsidR="00E605C5" w:rsidRPr="006E7C85" w:rsidRDefault="00E605C5" w:rsidP="00497564">
            <w:pPr>
              <w:spacing w:before="80" w:after="80" w:line="271" w:lineRule="auto"/>
              <w:jc w:val="both"/>
              <w:rPr>
                <w:rFonts w:ascii="Gulliver" w:hAnsi="Gulliver"/>
                <w:b/>
                <w:bCs/>
                <w:sz w:val="18"/>
                <w:szCs w:val="18"/>
              </w:rPr>
            </w:pPr>
            <w:r w:rsidRPr="006E7C85">
              <w:rPr>
                <w:rFonts w:ascii="Gulliver" w:hAnsi="Gulliver"/>
                <w:noProof/>
                <w:sz w:val="18"/>
                <w:szCs w:val="18"/>
                <w:vertAlign w:val="subscript"/>
              </w:rPr>
              <w:drawing>
                <wp:anchor distT="0" distB="0" distL="114300" distR="114300" simplePos="0" relativeHeight="251659264" behindDoc="0" locked="0" layoutInCell="1" allowOverlap="1" wp14:anchorId="6E351DD4" wp14:editId="77DB7008">
                  <wp:simplePos x="0" y="0"/>
                  <wp:positionH relativeFrom="column">
                    <wp:posOffset>3819420</wp:posOffset>
                  </wp:positionH>
                  <wp:positionV relativeFrom="paragraph">
                    <wp:posOffset>19050</wp:posOffset>
                  </wp:positionV>
                  <wp:extent cx="1058271" cy="238035"/>
                  <wp:effectExtent l="0" t="0" r="0" b="0"/>
                  <wp:wrapNone/>
                  <wp:docPr id="30" name="Picture 3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8271" cy="238035"/>
                          </a:xfrm>
                          <a:prstGeom prst="rect">
                            <a:avLst/>
                          </a:prstGeom>
                        </pic:spPr>
                      </pic:pic>
                    </a:graphicData>
                  </a:graphic>
                  <wp14:sizeRelH relativeFrom="margin">
                    <wp14:pctWidth>0</wp14:pctWidth>
                  </wp14:sizeRelH>
                  <wp14:sizeRelV relativeFrom="margin">
                    <wp14:pctHeight>0</wp14:pctHeight>
                  </wp14:sizeRelV>
                </wp:anchor>
              </w:drawing>
            </w:r>
            <w:r w:rsidRPr="006E7C85">
              <w:rPr>
                <w:rFonts w:ascii="Gulliver" w:eastAsia="Times New Roman" w:hAnsi="Gulliver" w:cs="Times New Roman"/>
                <w:b/>
                <w:bCs/>
                <w:spacing w:val="21"/>
                <w:sz w:val="18"/>
                <w:szCs w:val="18"/>
              </w:rPr>
              <w:t>A</w:t>
            </w:r>
            <w:r w:rsidRPr="006E7C85">
              <w:rPr>
                <w:rFonts w:ascii="Gulliver" w:eastAsia="Times New Roman" w:hAnsi="Gulliver" w:cs="Times New Roman"/>
                <w:b/>
                <w:bCs/>
                <w:spacing w:val="-7"/>
                <w:sz w:val="18"/>
                <w:szCs w:val="18"/>
              </w:rPr>
              <w:t xml:space="preserve"> </w:t>
            </w:r>
            <w:r w:rsidRPr="006E7C85">
              <w:rPr>
                <w:rFonts w:ascii="Gulliver" w:eastAsia="Times New Roman" w:hAnsi="Gulliver" w:cs="Times New Roman"/>
                <w:b/>
                <w:bCs/>
                <w:spacing w:val="21"/>
                <w:sz w:val="18"/>
                <w:szCs w:val="18"/>
              </w:rPr>
              <w:t>B</w:t>
            </w:r>
            <w:r w:rsidRPr="006E7C85">
              <w:rPr>
                <w:rFonts w:ascii="Gulliver" w:eastAsia="Times New Roman" w:hAnsi="Gulliver" w:cs="Times New Roman"/>
                <w:b/>
                <w:bCs/>
                <w:spacing w:val="-7"/>
                <w:sz w:val="18"/>
                <w:szCs w:val="18"/>
              </w:rPr>
              <w:t xml:space="preserve"> </w:t>
            </w:r>
            <w:r w:rsidRPr="006E7C85">
              <w:rPr>
                <w:rFonts w:ascii="Gulliver" w:eastAsia="Times New Roman" w:hAnsi="Gulliver" w:cs="Times New Roman"/>
                <w:b/>
                <w:bCs/>
                <w:spacing w:val="21"/>
                <w:sz w:val="18"/>
                <w:szCs w:val="18"/>
              </w:rPr>
              <w:t>S</w:t>
            </w:r>
            <w:r w:rsidRPr="006E7C85">
              <w:rPr>
                <w:rFonts w:ascii="Gulliver" w:eastAsia="Times New Roman" w:hAnsi="Gulliver" w:cs="Times New Roman"/>
                <w:b/>
                <w:bCs/>
                <w:spacing w:val="-5"/>
                <w:sz w:val="18"/>
                <w:szCs w:val="18"/>
              </w:rPr>
              <w:t xml:space="preserve"> </w:t>
            </w:r>
            <w:r w:rsidRPr="006E7C85">
              <w:rPr>
                <w:rFonts w:ascii="Gulliver" w:eastAsia="Times New Roman" w:hAnsi="Gulliver" w:cs="Times New Roman"/>
                <w:b/>
                <w:bCs/>
                <w:spacing w:val="21"/>
                <w:sz w:val="18"/>
                <w:szCs w:val="18"/>
              </w:rPr>
              <w:t>T</w:t>
            </w:r>
            <w:r w:rsidRPr="006E7C85">
              <w:rPr>
                <w:rFonts w:ascii="Gulliver" w:eastAsia="Times New Roman" w:hAnsi="Gulliver" w:cs="Times New Roman"/>
                <w:b/>
                <w:bCs/>
                <w:spacing w:val="-6"/>
                <w:sz w:val="18"/>
                <w:szCs w:val="18"/>
              </w:rPr>
              <w:t xml:space="preserve"> </w:t>
            </w:r>
            <w:r w:rsidRPr="006E7C85">
              <w:rPr>
                <w:rFonts w:ascii="Gulliver" w:eastAsia="Times New Roman" w:hAnsi="Gulliver" w:cs="Times New Roman"/>
                <w:b/>
                <w:bCs/>
                <w:spacing w:val="21"/>
                <w:sz w:val="18"/>
                <w:szCs w:val="18"/>
              </w:rPr>
              <w:t>R</w:t>
            </w:r>
            <w:r w:rsidRPr="006E7C85">
              <w:rPr>
                <w:rFonts w:ascii="Gulliver" w:eastAsia="Times New Roman" w:hAnsi="Gulliver" w:cs="Times New Roman"/>
                <w:b/>
                <w:bCs/>
                <w:spacing w:val="-7"/>
                <w:sz w:val="18"/>
                <w:szCs w:val="18"/>
              </w:rPr>
              <w:t xml:space="preserve"> </w:t>
            </w:r>
            <w:r w:rsidRPr="006E7C85">
              <w:rPr>
                <w:rFonts w:ascii="Gulliver" w:eastAsia="Times New Roman" w:hAnsi="Gulliver" w:cs="Times New Roman"/>
                <w:b/>
                <w:bCs/>
                <w:spacing w:val="21"/>
                <w:sz w:val="18"/>
                <w:szCs w:val="18"/>
              </w:rPr>
              <w:t>A</w:t>
            </w:r>
            <w:r w:rsidRPr="006E7C85">
              <w:rPr>
                <w:rFonts w:ascii="Gulliver" w:eastAsia="Times New Roman" w:hAnsi="Gulliver" w:cs="Times New Roman"/>
                <w:b/>
                <w:bCs/>
                <w:spacing w:val="-7"/>
                <w:sz w:val="18"/>
                <w:szCs w:val="18"/>
              </w:rPr>
              <w:t xml:space="preserve"> </w:t>
            </w:r>
            <w:r w:rsidRPr="006E7C85">
              <w:rPr>
                <w:rFonts w:ascii="Gulliver" w:eastAsia="Times New Roman" w:hAnsi="Gulliver" w:cs="Times New Roman"/>
                <w:b/>
                <w:bCs/>
                <w:sz w:val="18"/>
                <w:szCs w:val="18"/>
              </w:rPr>
              <w:t>C</w:t>
            </w:r>
            <w:r w:rsidRPr="006E7C85">
              <w:rPr>
                <w:rFonts w:ascii="Gulliver" w:eastAsia="Times New Roman" w:hAnsi="Gulliver" w:cs="Times New Roman"/>
                <w:b/>
                <w:bCs/>
                <w:spacing w:val="15"/>
                <w:sz w:val="18"/>
                <w:szCs w:val="18"/>
              </w:rPr>
              <w:t xml:space="preserve"> </w:t>
            </w:r>
            <w:r w:rsidRPr="006E7C85">
              <w:rPr>
                <w:rFonts w:ascii="Gulliver" w:eastAsia="Times New Roman" w:hAnsi="Gulliver" w:cs="Times New Roman"/>
                <w:b/>
                <w:bCs/>
                <w:sz w:val="18"/>
                <w:szCs w:val="18"/>
              </w:rPr>
              <w:t>T</w:t>
            </w:r>
          </w:p>
        </w:tc>
      </w:tr>
      <w:tr w:rsidR="00E605C5" w14:paraId="1661457D" w14:textId="77777777" w:rsidTr="00497564">
        <w:trPr>
          <w:trHeight w:val="882"/>
        </w:trPr>
        <w:tc>
          <w:tcPr>
            <w:tcW w:w="2127" w:type="dxa"/>
          </w:tcPr>
          <w:p w14:paraId="68F54AD9" w14:textId="77777777" w:rsidR="00E605C5" w:rsidRPr="006E7C85" w:rsidRDefault="00E605C5" w:rsidP="00497564">
            <w:pPr>
              <w:ind w:left="-106"/>
              <w:jc w:val="both"/>
              <w:rPr>
                <w:rFonts w:ascii="Gulliver" w:hAnsi="Gulliver"/>
                <w:b/>
                <w:bCs/>
                <w:i/>
                <w:iCs/>
                <w:sz w:val="16"/>
                <w:szCs w:val="16"/>
              </w:rPr>
            </w:pPr>
            <w:r>
              <w:rPr>
                <w:rFonts w:ascii="Gulliver" w:hAnsi="Gulliver"/>
                <w:b/>
                <w:bCs/>
                <w:i/>
                <w:iCs/>
                <w:sz w:val="16"/>
                <w:szCs w:val="16"/>
              </w:rPr>
              <w:t>A</w:t>
            </w:r>
            <w:r w:rsidRPr="006E7C85">
              <w:rPr>
                <w:rFonts w:ascii="Gulliver" w:hAnsi="Gulliver"/>
                <w:b/>
                <w:bCs/>
                <w:i/>
                <w:iCs/>
                <w:sz w:val="16"/>
                <w:szCs w:val="16"/>
              </w:rPr>
              <w:t>rticle history:</w:t>
            </w:r>
          </w:p>
          <w:p w14:paraId="25456131" w14:textId="571E810F" w:rsidR="00E605C5" w:rsidRPr="006E7C85" w:rsidRDefault="00E605C5" w:rsidP="00497564">
            <w:pPr>
              <w:ind w:left="-106"/>
              <w:jc w:val="both"/>
              <w:rPr>
                <w:rFonts w:ascii="Gulliver" w:hAnsi="Gulliver"/>
                <w:sz w:val="14"/>
                <w:szCs w:val="14"/>
              </w:rPr>
            </w:pPr>
            <w:r w:rsidRPr="006E7C85">
              <w:rPr>
                <w:rFonts w:ascii="Gulliver" w:hAnsi="Gulliver"/>
                <w:sz w:val="14"/>
                <w:szCs w:val="14"/>
              </w:rPr>
              <w:t xml:space="preserve">Received </w:t>
            </w:r>
            <w:r w:rsidR="00AA0346">
              <w:rPr>
                <w:rFonts w:ascii="Gulliver" w:hAnsi="Gulliver"/>
                <w:sz w:val="14"/>
                <w:szCs w:val="14"/>
              </w:rPr>
              <w:t>14</w:t>
            </w:r>
            <w:r w:rsidRPr="006E7C85">
              <w:rPr>
                <w:rFonts w:ascii="Gulliver" w:hAnsi="Gulliver"/>
                <w:sz w:val="14"/>
                <w:szCs w:val="14"/>
              </w:rPr>
              <w:t xml:space="preserve"> </w:t>
            </w:r>
            <w:r w:rsidR="00AA0346">
              <w:rPr>
                <w:rFonts w:ascii="Gulliver" w:hAnsi="Gulliver"/>
                <w:sz w:val="14"/>
                <w:szCs w:val="14"/>
              </w:rPr>
              <w:t>July</w:t>
            </w:r>
            <w:r w:rsidRPr="006E7C85">
              <w:rPr>
                <w:rFonts w:ascii="Gulliver" w:hAnsi="Gulliver"/>
                <w:sz w:val="14"/>
                <w:szCs w:val="14"/>
              </w:rPr>
              <w:t xml:space="preserve"> 20</w:t>
            </w:r>
            <w:r>
              <w:rPr>
                <w:rFonts w:ascii="Gulliver" w:hAnsi="Gulliver"/>
                <w:sz w:val="14"/>
                <w:szCs w:val="14"/>
              </w:rPr>
              <w:t>24</w:t>
            </w:r>
          </w:p>
          <w:p w14:paraId="71AE6007" w14:textId="0CEDD20A" w:rsidR="00E605C5" w:rsidRPr="006E7C85" w:rsidRDefault="00E605C5" w:rsidP="00497564">
            <w:pPr>
              <w:ind w:left="-106"/>
              <w:jc w:val="both"/>
              <w:rPr>
                <w:rFonts w:ascii="Gulliver" w:hAnsi="Gulliver"/>
                <w:sz w:val="14"/>
                <w:szCs w:val="14"/>
              </w:rPr>
            </w:pPr>
            <w:r>
              <w:rPr>
                <w:rFonts w:ascii="Gulliver" w:hAnsi="Gulliver"/>
                <w:sz w:val="14"/>
                <w:szCs w:val="14"/>
              </w:rPr>
              <w:t>R</w:t>
            </w:r>
            <w:r w:rsidRPr="006E7C85">
              <w:rPr>
                <w:rFonts w:ascii="Gulliver" w:hAnsi="Gulliver"/>
                <w:sz w:val="14"/>
                <w:szCs w:val="14"/>
              </w:rPr>
              <w:t xml:space="preserve">evised </w:t>
            </w:r>
            <w:r w:rsidR="00AA0346">
              <w:rPr>
                <w:rFonts w:ascii="Gulliver" w:hAnsi="Gulliver"/>
                <w:sz w:val="14"/>
                <w:szCs w:val="14"/>
              </w:rPr>
              <w:t>2</w:t>
            </w:r>
            <w:r w:rsidR="009D6955">
              <w:rPr>
                <w:rFonts w:ascii="Gulliver" w:hAnsi="Gulliver"/>
                <w:sz w:val="14"/>
                <w:szCs w:val="14"/>
              </w:rPr>
              <w:t>5</w:t>
            </w:r>
            <w:r w:rsidRPr="006E7C85">
              <w:rPr>
                <w:rFonts w:ascii="Gulliver" w:hAnsi="Gulliver"/>
                <w:sz w:val="14"/>
                <w:szCs w:val="14"/>
              </w:rPr>
              <w:t xml:space="preserve"> </w:t>
            </w:r>
            <w:r w:rsidR="00AA0346">
              <w:rPr>
                <w:rFonts w:ascii="Gulliver" w:hAnsi="Gulliver"/>
                <w:sz w:val="14"/>
                <w:szCs w:val="14"/>
              </w:rPr>
              <w:t>November</w:t>
            </w:r>
            <w:r w:rsidRPr="006E7C85">
              <w:rPr>
                <w:rFonts w:ascii="Gulliver" w:hAnsi="Gulliver"/>
                <w:sz w:val="14"/>
                <w:szCs w:val="14"/>
              </w:rPr>
              <w:t xml:space="preserve"> 20</w:t>
            </w:r>
            <w:r>
              <w:rPr>
                <w:rFonts w:ascii="Gulliver" w:hAnsi="Gulliver"/>
                <w:sz w:val="14"/>
                <w:szCs w:val="14"/>
              </w:rPr>
              <w:t>24</w:t>
            </w:r>
          </w:p>
          <w:p w14:paraId="49A6D478" w14:textId="77777777" w:rsidR="00E605C5" w:rsidRPr="00E91883" w:rsidRDefault="00E605C5" w:rsidP="00497564">
            <w:pPr>
              <w:ind w:left="-106"/>
              <w:jc w:val="both"/>
              <w:rPr>
                <w:rFonts w:ascii="Gulliver" w:hAnsi="Gulliver"/>
                <w:sz w:val="20"/>
                <w:szCs w:val="20"/>
              </w:rPr>
            </w:pPr>
            <w:r w:rsidRPr="006E7C85">
              <w:rPr>
                <w:rFonts w:ascii="Gulliver" w:hAnsi="Gulliver"/>
                <w:sz w:val="14"/>
                <w:szCs w:val="14"/>
              </w:rPr>
              <w:t>Accepted 1</w:t>
            </w:r>
            <w:r>
              <w:rPr>
                <w:rFonts w:ascii="Gulliver" w:hAnsi="Gulliver"/>
                <w:sz w:val="14"/>
                <w:szCs w:val="14"/>
              </w:rPr>
              <w:t>0</w:t>
            </w:r>
            <w:r w:rsidRPr="006E7C85">
              <w:rPr>
                <w:rFonts w:ascii="Gulliver" w:hAnsi="Gulliver"/>
                <w:sz w:val="14"/>
                <w:szCs w:val="14"/>
              </w:rPr>
              <w:t xml:space="preserve"> December 20</w:t>
            </w:r>
            <w:r>
              <w:rPr>
                <w:rFonts w:ascii="Gulliver" w:hAnsi="Gulliver"/>
                <w:sz w:val="14"/>
                <w:szCs w:val="14"/>
              </w:rPr>
              <w:t>24</w:t>
            </w:r>
          </w:p>
        </w:tc>
        <w:tc>
          <w:tcPr>
            <w:tcW w:w="283" w:type="dxa"/>
            <w:vMerge w:val="restart"/>
          </w:tcPr>
          <w:p w14:paraId="2031D70A" w14:textId="77777777" w:rsidR="00E605C5" w:rsidRDefault="00E605C5" w:rsidP="00497564">
            <w:pPr>
              <w:jc w:val="both"/>
              <w:rPr>
                <w:rFonts w:ascii="Gulliver" w:hAnsi="Gulliver"/>
                <w:sz w:val="20"/>
                <w:szCs w:val="20"/>
              </w:rPr>
            </w:pPr>
          </w:p>
        </w:tc>
        <w:tc>
          <w:tcPr>
            <w:tcW w:w="7786" w:type="dxa"/>
            <w:vMerge w:val="restart"/>
          </w:tcPr>
          <w:p w14:paraId="33134D23" w14:textId="25EC00C4" w:rsidR="00E605C5" w:rsidRPr="006E7C85" w:rsidRDefault="00E605C5" w:rsidP="00497564">
            <w:pPr>
              <w:ind w:right="-110"/>
              <w:jc w:val="both"/>
              <w:rPr>
                <w:rFonts w:ascii="Gulliver" w:hAnsi="Gulliver"/>
                <w:sz w:val="16"/>
                <w:szCs w:val="16"/>
              </w:rPr>
            </w:pPr>
            <w:r w:rsidRPr="006E7C85">
              <w:rPr>
                <w:rFonts w:ascii="Gulliver" w:hAnsi="Gulliver"/>
                <w:b/>
                <w:bCs/>
                <w:sz w:val="16"/>
                <w:szCs w:val="16"/>
              </w:rPr>
              <w:t>Objective:</w:t>
            </w:r>
            <w:r w:rsidRPr="006E7C85">
              <w:rPr>
                <w:rFonts w:ascii="Gulliver" w:hAnsi="Gulliver"/>
                <w:sz w:val="16"/>
                <w:szCs w:val="16"/>
              </w:rPr>
              <w:t xml:space="preserve"> </w:t>
            </w:r>
            <w:r w:rsidR="00580AC1" w:rsidRPr="00580AC1">
              <w:rPr>
                <w:rFonts w:ascii="Gulliver" w:hAnsi="Gulliver"/>
                <w:sz w:val="16"/>
                <w:szCs w:val="16"/>
              </w:rPr>
              <w:t>This study examines the transformative potential of artificial intelligence (AI) and machine learning (ML) in marketing research and practice, highlighting their role in improving predictive accuracy, unlocking insights from complex data, supporting transparent analytics, and optimizing customer journey mapping. It also examines how the integration of human insights with AI contributes to the advancement of marketing theories and practices.</w:t>
            </w:r>
          </w:p>
          <w:p w14:paraId="0682FB87" w14:textId="4C1F6AC9" w:rsidR="00E605C5" w:rsidRPr="006E7C85" w:rsidRDefault="00E605C5" w:rsidP="00497564">
            <w:pPr>
              <w:ind w:right="-110"/>
              <w:jc w:val="both"/>
              <w:rPr>
                <w:rFonts w:ascii="Gulliver" w:hAnsi="Gulliver"/>
                <w:sz w:val="16"/>
                <w:szCs w:val="16"/>
              </w:rPr>
            </w:pPr>
            <w:r w:rsidRPr="006E7C85">
              <w:rPr>
                <w:rFonts w:ascii="Gulliver" w:hAnsi="Gulliver"/>
                <w:b/>
                <w:bCs/>
                <w:sz w:val="16"/>
                <w:szCs w:val="16"/>
              </w:rPr>
              <w:t>Methods:</w:t>
            </w:r>
            <w:r w:rsidR="00580AC1">
              <w:t xml:space="preserve"> </w:t>
            </w:r>
            <w:r w:rsidR="00580AC1" w:rsidRPr="00580AC1">
              <w:rPr>
                <w:rFonts w:ascii="Gulliver" w:hAnsi="Gulliver"/>
                <w:sz w:val="16"/>
                <w:szCs w:val="16"/>
              </w:rPr>
              <w:t>A comprehensive methodological framework has been designed to assess the interplay between the AI/ML-driven models and the key marketing constructs. Advanced statistical analyses were employed to ensure robust validation of theoretical and practical implications. Variables were operationalised using well-established instruments to ensure reliability and construct validity.</w:t>
            </w:r>
          </w:p>
          <w:p w14:paraId="69F82C47" w14:textId="38568237" w:rsidR="00E605C5" w:rsidRPr="006E7C85" w:rsidRDefault="00E605C5" w:rsidP="00497564">
            <w:pPr>
              <w:ind w:right="-110"/>
              <w:jc w:val="both"/>
              <w:rPr>
                <w:rFonts w:ascii="Gulliver" w:hAnsi="Gulliver"/>
                <w:sz w:val="16"/>
                <w:szCs w:val="16"/>
              </w:rPr>
            </w:pPr>
            <w:r w:rsidRPr="006E7C85">
              <w:rPr>
                <w:rFonts w:ascii="Gulliver" w:hAnsi="Gulliver"/>
                <w:b/>
                <w:bCs/>
                <w:sz w:val="16"/>
                <w:szCs w:val="16"/>
              </w:rPr>
              <w:t>Results:</w:t>
            </w:r>
            <w:r w:rsidRPr="006E7C85">
              <w:rPr>
                <w:rFonts w:ascii="Gulliver" w:hAnsi="Gulliver"/>
                <w:sz w:val="16"/>
                <w:szCs w:val="16"/>
              </w:rPr>
              <w:t xml:space="preserve"> </w:t>
            </w:r>
            <w:r w:rsidR="00580AC1" w:rsidRPr="00580AC1">
              <w:rPr>
                <w:rFonts w:ascii="Gulliver" w:hAnsi="Gulliver"/>
                <w:sz w:val="16"/>
                <w:szCs w:val="16"/>
              </w:rPr>
              <w:t>The study identifies key trends and opportunities, showing how AI/ML technologies are reshaping marketing by addressing key challenges, enabling new capabilities and providing actionable insights. It also highlights gaps in current methodologies, calling for a nuanced understanding of their theoretical and practical applications.</w:t>
            </w:r>
          </w:p>
          <w:p w14:paraId="70C78F82" w14:textId="158AC787" w:rsidR="00E605C5" w:rsidRPr="006E7C85" w:rsidRDefault="00E605C5" w:rsidP="00497564">
            <w:pPr>
              <w:ind w:right="-110"/>
              <w:jc w:val="both"/>
              <w:rPr>
                <w:rFonts w:ascii="Gulliver" w:hAnsi="Gulliver"/>
                <w:sz w:val="16"/>
                <w:szCs w:val="16"/>
              </w:rPr>
            </w:pPr>
            <w:r w:rsidRPr="006E7C85">
              <w:rPr>
                <w:rFonts w:ascii="Gulliver" w:hAnsi="Gulliver"/>
                <w:b/>
                <w:bCs/>
                <w:sz w:val="16"/>
                <w:szCs w:val="16"/>
              </w:rPr>
              <w:t>Novelty:</w:t>
            </w:r>
            <w:r w:rsidR="00580AC1">
              <w:rPr>
                <w:rFonts w:ascii="Gulliver" w:hAnsi="Gulliver"/>
                <w:b/>
                <w:bCs/>
                <w:sz w:val="16"/>
                <w:szCs w:val="16"/>
              </w:rPr>
              <w:t xml:space="preserve"> </w:t>
            </w:r>
            <w:r w:rsidR="00580AC1" w:rsidRPr="00580AC1">
              <w:rPr>
                <w:rFonts w:ascii="Gulliver" w:hAnsi="Gulliver"/>
                <w:sz w:val="16"/>
                <w:szCs w:val="16"/>
              </w:rPr>
              <w:t>By bridging advanced AI/ML techniques with marketing theory, this research offers a fresh perspective on integrating technological innovation with human-centred insights. The study also addresses the importance of ethical frameworks and the interpretability of the models, thus paving the way for responsible AI-driven marketing.</w:t>
            </w:r>
          </w:p>
          <w:p w14:paraId="32D967C3" w14:textId="7FFD3027" w:rsidR="00E605C5" w:rsidRPr="00580AC1" w:rsidRDefault="00E605C5" w:rsidP="00497564">
            <w:pPr>
              <w:ind w:right="-110"/>
              <w:jc w:val="both"/>
              <w:rPr>
                <w:rFonts w:ascii="Gulliver" w:hAnsi="Gulliver"/>
                <w:sz w:val="16"/>
                <w:szCs w:val="16"/>
              </w:rPr>
            </w:pPr>
            <w:r w:rsidRPr="006E7C85">
              <w:rPr>
                <w:rFonts w:ascii="Gulliver" w:hAnsi="Gulliver"/>
                <w:b/>
                <w:bCs/>
                <w:sz w:val="16"/>
                <w:szCs w:val="16"/>
              </w:rPr>
              <w:t>Implications for Research:</w:t>
            </w:r>
            <w:r w:rsidR="00580AC1">
              <w:rPr>
                <w:rFonts w:ascii="Gulliver" w:hAnsi="Gulliver"/>
                <w:b/>
                <w:bCs/>
                <w:sz w:val="16"/>
                <w:szCs w:val="16"/>
              </w:rPr>
              <w:t xml:space="preserve"> </w:t>
            </w:r>
            <w:r w:rsidR="00580AC1" w:rsidRPr="00580AC1">
              <w:rPr>
                <w:rFonts w:ascii="Gulliver" w:hAnsi="Gulliver"/>
                <w:sz w:val="16"/>
                <w:szCs w:val="16"/>
              </w:rPr>
              <w:t>The findings encourage researchers to further explore the intersection of AI/ML and marketing, exploring underrepresented contexts, refining interpretative models and addressing ethics. Future research should aim to combine technological advances with consumer-centred and theory-driven approaches.</w:t>
            </w:r>
          </w:p>
          <w:p w14:paraId="596E6F4B" w14:textId="77777777" w:rsidR="00E605C5" w:rsidRDefault="00E605C5" w:rsidP="00497564">
            <w:pPr>
              <w:ind w:right="-110"/>
              <w:jc w:val="both"/>
              <w:rPr>
                <w:rFonts w:ascii="Gulliver" w:hAnsi="Gulliver"/>
                <w:sz w:val="20"/>
                <w:szCs w:val="20"/>
              </w:rPr>
            </w:pPr>
          </w:p>
          <w:p w14:paraId="7CB066B6" w14:textId="77777777" w:rsidR="00E605C5" w:rsidRDefault="00E605C5" w:rsidP="00497564">
            <w:pPr>
              <w:ind w:right="-110"/>
              <w:jc w:val="right"/>
              <w:rPr>
                <w:rFonts w:ascii="Gulliver" w:hAnsi="Gulliver"/>
                <w:sz w:val="20"/>
                <w:szCs w:val="20"/>
              </w:rPr>
            </w:pPr>
            <w:r w:rsidRPr="00F11F2A">
              <w:rPr>
                <w:rFonts w:ascii="Cambria" w:hAnsi="Cambria"/>
                <w:sz w:val="14"/>
                <w:szCs w:val="14"/>
              </w:rPr>
              <w:t>© 2024 Safety and Health for Medical Workers. All rights reserved</w:t>
            </w:r>
          </w:p>
        </w:tc>
      </w:tr>
      <w:tr w:rsidR="00E605C5" w14:paraId="38AB34AF" w14:textId="77777777" w:rsidTr="00497564">
        <w:trPr>
          <w:trHeight w:val="869"/>
        </w:trPr>
        <w:tc>
          <w:tcPr>
            <w:tcW w:w="2127" w:type="dxa"/>
          </w:tcPr>
          <w:p w14:paraId="77A4D9E6" w14:textId="77777777" w:rsidR="00EB3855" w:rsidRPr="00AD3D6D" w:rsidRDefault="00EB3855" w:rsidP="00EB3855">
            <w:pPr>
              <w:ind w:left="-106"/>
              <w:jc w:val="both"/>
              <w:rPr>
                <w:rFonts w:ascii="Gulliver" w:hAnsi="Gulliver"/>
                <w:b/>
                <w:bCs/>
                <w:i/>
                <w:iCs/>
                <w:sz w:val="16"/>
                <w:szCs w:val="16"/>
              </w:rPr>
            </w:pPr>
            <w:r w:rsidRPr="00AD3D6D">
              <w:rPr>
                <w:rFonts w:ascii="Gulliver" w:hAnsi="Gulliver"/>
                <w:b/>
                <w:bCs/>
                <w:i/>
                <w:iCs/>
                <w:sz w:val="16"/>
                <w:szCs w:val="16"/>
              </w:rPr>
              <w:t>Author's correspondence;</w:t>
            </w:r>
          </w:p>
          <w:p w14:paraId="7C3B44C6" w14:textId="3A07AF41" w:rsidR="00E605C5" w:rsidRDefault="00EB3855" w:rsidP="00EB3855">
            <w:pPr>
              <w:ind w:left="-106"/>
              <w:jc w:val="both"/>
              <w:rPr>
                <w:rFonts w:ascii="Gulliver" w:hAnsi="Gulliver"/>
                <w:sz w:val="20"/>
                <w:szCs w:val="20"/>
              </w:rPr>
            </w:pPr>
            <w:r w:rsidRPr="00EB3855">
              <w:rPr>
                <w:rFonts w:ascii="Elsevier Sans" w:hAnsi="Elsevier Sans" w:cs="Arial"/>
                <w:sz w:val="16"/>
                <w:szCs w:val="14"/>
                <w:lang w:val="en-US"/>
              </w:rPr>
              <w:t>Claude</w:t>
            </w:r>
            <w:r>
              <w:rPr>
                <w:rFonts w:ascii="Gulliver" w:hAnsi="Gulliver"/>
                <w:sz w:val="16"/>
                <w:szCs w:val="16"/>
              </w:rPr>
              <w:t xml:space="preserve"> </w:t>
            </w:r>
            <w:r>
              <w:rPr>
                <w:rFonts w:ascii="Gulliver" w:hAnsi="Gulliver"/>
                <w:noProof/>
                <w:sz w:val="20"/>
                <w:szCs w:val="20"/>
              </w:rPr>
              <w:drawing>
                <wp:inline distT="0" distB="0" distL="0" distR="0" wp14:anchorId="12CF5EFD" wp14:editId="62956E67">
                  <wp:extent cx="97099" cy="97099"/>
                  <wp:effectExtent l="0" t="0" r="0"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832" cy="105832"/>
                          </a:xfrm>
                          <a:prstGeom prst="rect">
                            <a:avLst/>
                          </a:prstGeom>
                        </pic:spPr>
                      </pic:pic>
                    </a:graphicData>
                  </a:graphic>
                </wp:inline>
              </w:drawing>
            </w:r>
          </w:p>
        </w:tc>
        <w:tc>
          <w:tcPr>
            <w:tcW w:w="283" w:type="dxa"/>
            <w:vMerge/>
          </w:tcPr>
          <w:p w14:paraId="08CA52F3" w14:textId="77777777" w:rsidR="00E605C5" w:rsidRDefault="00E605C5" w:rsidP="00497564">
            <w:pPr>
              <w:jc w:val="both"/>
              <w:rPr>
                <w:rFonts w:ascii="Gulliver" w:hAnsi="Gulliver"/>
                <w:sz w:val="20"/>
                <w:szCs w:val="20"/>
              </w:rPr>
            </w:pPr>
          </w:p>
        </w:tc>
        <w:tc>
          <w:tcPr>
            <w:tcW w:w="7786" w:type="dxa"/>
            <w:vMerge/>
          </w:tcPr>
          <w:p w14:paraId="54DCE0DC" w14:textId="77777777" w:rsidR="00E605C5" w:rsidRDefault="00E605C5" w:rsidP="00497564">
            <w:pPr>
              <w:jc w:val="both"/>
              <w:rPr>
                <w:rFonts w:ascii="Gulliver" w:hAnsi="Gulliver"/>
                <w:sz w:val="20"/>
                <w:szCs w:val="20"/>
              </w:rPr>
            </w:pPr>
          </w:p>
        </w:tc>
      </w:tr>
      <w:tr w:rsidR="00E605C5" w14:paraId="69854BC0" w14:textId="77777777" w:rsidTr="00497564">
        <w:trPr>
          <w:trHeight w:val="740"/>
        </w:trPr>
        <w:tc>
          <w:tcPr>
            <w:tcW w:w="2127" w:type="dxa"/>
          </w:tcPr>
          <w:p w14:paraId="1B10F278" w14:textId="77777777" w:rsidR="00E605C5" w:rsidRPr="006E7C85" w:rsidRDefault="00E605C5" w:rsidP="00497564">
            <w:pPr>
              <w:ind w:left="-106"/>
              <w:jc w:val="both"/>
              <w:rPr>
                <w:rFonts w:ascii="Gulliver" w:hAnsi="Gulliver"/>
                <w:b/>
                <w:bCs/>
                <w:i/>
                <w:iCs/>
                <w:sz w:val="14"/>
                <w:szCs w:val="14"/>
              </w:rPr>
            </w:pPr>
            <w:r w:rsidRPr="006E7C85">
              <w:rPr>
                <w:rFonts w:ascii="Gulliver" w:hAnsi="Gulliver"/>
                <w:b/>
                <w:bCs/>
                <w:i/>
                <w:iCs/>
                <w:sz w:val="14"/>
                <w:szCs w:val="14"/>
              </w:rPr>
              <w:t>Keywords:</w:t>
            </w:r>
          </w:p>
          <w:p w14:paraId="7432B7B6" w14:textId="531BD55C" w:rsidR="00E605C5" w:rsidRPr="00E91883" w:rsidRDefault="00580AC1" w:rsidP="00B34EF7">
            <w:pPr>
              <w:ind w:left="-108"/>
              <w:jc w:val="both"/>
              <w:rPr>
                <w:rFonts w:ascii="Gulliver" w:hAnsi="Gulliver"/>
                <w:sz w:val="16"/>
                <w:szCs w:val="16"/>
              </w:rPr>
            </w:pPr>
            <w:r w:rsidRPr="00580AC1">
              <w:rPr>
                <w:rFonts w:ascii="Gulliver" w:hAnsi="Gulliver"/>
                <w:sz w:val="16"/>
                <w:szCs w:val="16"/>
              </w:rPr>
              <w:t>Artificial intelligence, machine learning, marketing analytics, consumer insights, ethical AI</w:t>
            </w:r>
          </w:p>
        </w:tc>
        <w:tc>
          <w:tcPr>
            <w:tcW w:w="283" w:type="dxa"/>
            <w:vMerge/>
          </w:tcPr>
          <w:p w14:paraId="58BEC451" w14:textId="77777777" w:rsidR="00E605C5" w:rsidRDefault="00E605C5" w:rsidP="00497564">
            <w:pPr>
              <w:jc w:val="both"/>
              <w:rPr>
                <w:rFonts w:ascii="Gulliver" w:hAnsi="Gulliver"/>
                <w:sz w:val="20"/>
                <w:szCs w:val="20"/>
              </w:rPr>
            </w:pPr>
          </w:p>
        </w:tc>
        <w:tc>
          <w:tcPr>
            <w:tcW w:w="7786" w:type="dxa"/>
            <w:vMerge/>
          </w:tcPr>
          <w:p w14:paraId="297E335D" w14:textId="77777777" w:rsidR="00E605C5" w:rsidRDefault="00E605C5" w:rsidP="00497564">
            <w:pPr>
              <w:jc w:val="both"/>
              <w:rPr>
                <w:rFonts w:ascii="Gulliver" w:hAnsi="Gulliver"/>
                <w:sz w:val="20"/>
                <w:szCs w:val="20"/>
              </w:rPr>
            </w:pPr>
          </w:p>
        </w:tc>
      </w:tr>
    </w:tbl>
    <w:p w14:paraId="5F4638BE" w14:textId="77777777" w:rsidR="00DC663C" w:rsidRDefault="00DC663C" w:rsidP="00E605C5">
      <w:pPr>
        <w:pStyle w:val="ListParagraph"/>
        <w:numPr>
          <w:ilvl w:val="0"/>
          <w:numId w:val="2"/>
        </w:numPr>
        <w:spacing w:before="240"/>
        <w:ind w:left="284" w:hanging="284"/>
        <w:rPr>
          <w:rFonts w:ascii="Gulliver" w:hAnsi="Gulliver"/>
          <w:b/>
          <w:bCs/>
        </w:rPr>
        <w:sectPr w:rsidR="00DC663C" w:rsidSect="00AA0346">
          <w:headerReference w:type="even" r:id="rId15"/>
          <w:headerReference w:type="default" r:id="rId16"/>
          <w:footerReference w:type="even" r:id="rId17"/>
          <w:footerReference w:type="default" r:id="rId18"/>
          <w:headerReference w:type="first" r:id="rId19"/>
          <w:footerReference w:type="first" r:id="rId20"/>
          <w:pgSz w:w="11907" w:h="16839"/>
          <w:pgMar w:top="1701" w:right="850" w:bottom="1701" w:left="851" w:header="709" w:footer="709" w:gutter="0"/>
          <w:pgNumType w:start="227"/>
          <w:cols w:space="708"/>
          <w:titlePg/>
          <w:docGrid w:linePitch="299"/>
        </w:sectPr>
      </w:pPr>
    </w:p>
    <w:p w14:paraId="0EE9282D" w14:textId="3BE1C4C3" w:rsidR="00E605C5" w:rsidRPr="005A2456" w:rsidRDefault="00E605C5" w:rsidP="00E605C5">
      <w:pPr>
        <w:pStyle w:val="ListParagraph"/>
        <w:numPr>
          <w:ilvl w:val="0"/>
          <w:numId w:val="2"/>
        </w:numPr>
        <w:spacing w:before="240"/>
        <w:ind w:left="284" w:hanging="284"/>
      </w:pPr>
      <w:r w:rsidRPr="00E605C5">
        <w:rPr>
          <w:rFonts w:ascii="Gulliver" w:hAnsi="Gulliver"/>
          <w:b/>
          <w:bCs/>
        </w:rPr>
        <w:t>Introduction</w:t>
      </w:r>
    </w:p>
    <w:p w14:paraId="08DEAB74" w14:textId="05530A28" w:rsidR="005A2456" w:rsidRDefault="00EC126C" w:rsidP="00FF0C2D">
      <w:pPr>
        <w:spacing w:after="0" w:line="271" w:lineRule="auto"/>
        <w:ind w:firstLine="284"/>
        <w:jc w:val="both"/>
        <w:rPr>
          <w:rFonts w:ascii="Gulliver" w:hAnsi="Gulliver"/>
        </w:rPr>
      </w:pPr>
      <w:r w:rsidRPr="00EB3855">
        <w:rPr>
          <w:rFonts w:ascii="Gulliver" w:hAnsi="Gulliver"/>
          <w:sz w:val="20"/>
          <w:szCs w:val="20"/>
        </w:rPr>
        <w:t xml:space="preserve">For the marketing sector, the transformation brought with AI (Artificial Intelligence) and ML (Machine Learning) as a tool has changed the way businesses connect with their customers and with data. The rapid advancement of computing power and the availability of large datasets allowed for AI-based systems to make context-specific decisions on the fly. Some of these techniques have already been widely investigated in some areas, such as image recognition, recommendation systems, and sentiment analysis </w:t>
      </w:r>
      <w:r w:rsidR="0030473D">
        <w:rPr>
          <w:rFonts w:ascii="Gulliver" w:hAnsi="Gulliver"/>
          <w:sz w:val="20"/>
          <w:szCs w:val="20"/>
        </w:rPr>
        <w:fldChar w:fldCharType="begin" w:fldLock="1"/>
      </w:r>
      <w:r w:rsidR="0030473D">
        <w:rPr>
          <w:rFonts w:ascii="Gulliver" w:hAnsi="Gulliver"/>
          <w:sz w:val="20"/>
          <w:szCs w:val="20"/>
        </w:rPr>
        <w:instrText>ADDIN CSL_CITATION {"citationItems":[{"id":"ITEM-1","itemData":{"DOI":"https://doi.org/10.1016/j.knosys.2021.107134","ISSN":"0950-7051","abstract":"Sentiment analysis (SA), also called Opinion Mining (OM) is the task of extracting and analyzing people</w:instrText>
      </w:r>
      <w:r w:rsidR="0030473D">
        <w:rPr>
          <w:rFonts w:ascii="Gulliver" w:hAnsi="Gulliver" w:hint="eastAsia"/>
          <w:sz w:val="20"/>
          <w:szCs w:val="20"/>
        </w:rPr>
        <w:instrText>’</w:instrText>
      </w:r>
      <w:r w:rsidR="0030473D">
        <w:rPr>
          <w:rFonts w:ascii="Gulliver" w:hAnsi="Gulliver"/>
          <w:sz w:val="20"/>
          <w:szCs w:val="20"/>
        </w:rPr>
        <w:instrText>s opinions, sentiments, attitudes, perceptions, etc., toward different entities such as topics, products, and services. The fast evolution of Internet-based applications like websites, social networks, and blogs, leads people to generate enormous heaps of opinions and reviews about products, services, and day-to-day activities. Sentiment analysis poses as a powerful tool for businesses, governments, and researchers to extract and analyze public mood and views, gain business insight, and make better decisions. This paper presents a complete study of sentiment analysis approaches, challenges, and trends, to give researchers a global survey on sentiment analysis and its related fields. The paper presents the applications of sentiment analysis and describes the generic process of this task. Then, it reviews, compares, and investigates the used approaches to have an exhaustive view of their advantages and drawbacks. The challenges of sentiment analysis are discussed next to clarify future directions.","author":[{"dropping-particle":"","family":"Birjali","given":"Marouane","non-dropping-particle":"","parse-names":false,"suffix":""},{"dropping-particle":"","family":"Kasri","given":"Mohammed","non-dropping-particle":"","parse-names":false,"suffix":""},{"dropping-particle":"","family":"Beni-Hssane","given":"Abderrahim","non-dropping-particle":"","parse-names":false,"suffix":""}],"container-title":"Knowledge-Based Systems","id":"ITEM-1","issued":{"date-parts":[["2021"]]},"page":"107134","title":"A comprehensive survey on sentiment analysis: Approaches, challenges and trends","type":"article-journal","volume":"226"},"uris":["http://www.mendeley.com/documents/?uuid=ad28b0a3-219c-4502-8e9e-7b79f8d337a4"]},{"id":"ITEM-2","itemData":{"DOI":"https://doi.org/10.1016/j.eswa.2018.10.003","ISSN":"0957-4174","abstract":"The increasing volume of user-generated content on the web has made sentiment analysis an important tool for the extraction of information about the human emotional state. A current research focus for sentiment analysis is the improvement of granularity at aspect level, representing two distinct aims: aspect extraction and sentiment classification of product reviews and sentiment classification of target-dependent tweets. Deep learning approaches have emerged as a prospect for achieving these aims with their ability to capture both syntactic and semantic features of text without requirements for high-level feature engineering, as is the case in earlier methods. In this article, we aim to provide a comparative review of deep learning for aspect-based sentiment analysis to place different approaches in context.","author":[{"dropping-particle":"","family":"Do","given":"Hai Ha","non-dropping-particle":"","parse-names":false,"suffix":""},{"dropping-particle":"","family":"Prasad","given":"P W C","non-dropping-particle":"","parse-names":false,"suffix":""},{"dropping-particle":"","family":"Maag","given":"Angelika","non-dropping-particle":"","parse-names":false,"suffix":""},{"dropping-particle":"","family":"Alsadoon","given":"Abeer","non-dropping-particle":"","parse-names":false,"suffix":""}],"container-title":"Expert Systems with Applications","id":"ITEM-2","issued":{"date-parts":[["2019"]]},"page":"272-299","title":"Deep Learning for Aspect-Based Sentiment Analysis: A Comparative Review","type":"article-journal","volume":"118"},"uris":["http://www.mendeley.com/documents/?uuid=3bba0b57-05bb-4377-bf61-dc7b745cff6b"]},{"id":"ITEM-3","itemData":{"DOI":"https://doi.org/10.1016/j.imavis.2017.08.003","ISSN":"0262-8856","abstract":"Sentiment analysis aims to automatically uncover the underlying attitude that we hold towards an entity. The aggregation of these sentiment over a population represents opinion polling and has numerous applications. Current text-based sentiment analysis rely on the construction of dictionaries and machine learning models that learn sentiment from large text corpora. Sentiment analysis from text is currently widely used for customer satisfaction assessment and brand perception analysis, among others. With the proliferation of social media, multimodal sentiment analysis is set to bring new opportunities with the arrival of complementary data streams for improving and going beyond text-based sentiment analysis. Since sentiment can be detected through affective traces it leaves, such as facial and vocal displays, multimodal sentiment analysis offers promising avenues for analyzing facial and vocal expressions in addition to the transcript or textual content. These approaches leverage emotion recognition and context inference to determine the underlying polarity and scope of an individual's sentiment. In this survey, we define sentiment and the problem of multimodal sentiment analysis and review recent developments in multimodal sentiment analysis in different domains, including spoken reviews, images, video blogs, human</w:instrText>
      </w:r>
      <w:r w:rsidR="0030473D">
        <w:rPr>
          <w:rFonts w:ascii="Gulliver" w:hAnsi="Gulliver" w:hint="eastAsia"/>
          <w:sz w:val="20"/>
          <w:szCs w:val="20"/>
        </w:rPr>
        <w:instrText>–</w:instrText>
      </w:r>
      <w:r w:rsidR="0030473D">
        <w:rPr>
          <w:rFonts w:ascii="Gulliver" w:hAnsi="Gulliver"/>
          <w:sz w:val="20"/>
          <w:szCs w:val="20"/>
        </w:rPr>
        <w:instrText>machine and human</w:instrText>
      </w:r>
      <w:r w:rsidR="0030473D">
        <w:rPr>
          <w:rFonts w:ascii="Gulliver" w:hAnsi="Gulliver" w:hint="eastAsia"/>
          <w:sz w:val="20"/>
          <w:szCs w:val="20"/>
        </w:rPr>
        <w:instrText>–</w:instrText>
      </w:r>
      <w:r w:rsidR="0030473D">
        <w:rPr>
          <w:rFonts w:ascii="Gulliver" w:hAnsi="Gulliver"/>
          <w:sz w:val="20"/>
          <w:szCs w:val="20"/>
        </w:rPr>
        <w:instrText>human interactions. Challenges and opportunities of this emerging field are also discussed leading to our thesis that multimodal sentiment analysis holds a significant untapped potential.","author":[{"dropping-particle":"","family":"Soleymani","given":"Mohammad","non-dropping-particle":"","parse-names":false,"suffix":""},{"dropping-particle":"","family":"Garcia","given":"David","non-dropping-particle":"","parse-names":false,"suffix":""},{"dropping-particle":"","family":"Jou","given":"Brendan","non-dropping-particle":"","parse-names":false,"suffix":""},{"dropping-particle":"","family":"Schuller","given":"Bj</w:instrText>
      </w:r>
      <w:r w:rsidR="0030473D">
        <w:rPr>
          <w:rFonts w:ascii="Gulliver" w:hAnsi="Gulliver" w:hint="eastAsia"/>
          <w:sz w:val="20"/>
          <w:szCs w:val="20"/>
        </w:rPr>
        <w:instrText>ö</w:instrText>
      </w:r>
      <w:r w:rsidR="0030473D">
        <w:rPr>
          <w:rFonts w:ascii="Gulliver" w:hAnsi="Gulliver"/>
          <w:sz w:val="20"/>
          <w:szCs w:val="20"/>
        </w:rPr>
        <w:instrText>rn","non-dropping-particle":"","parse-names":false,"suffix":""},{"dropping-particle":"","family":"Chang","given":"Shih-Fu","non-dropping-particle":"","parse-names":false,"suffix":""},{"dropping-particle":"","family":"Pantic","given":"Maja","non-dropping-particle":"","parse-names":false,"suffix":""}],"container-title":"Image and Vision Computing","id":"ITEM-3","issued":{"date-parts":[["2017"]]},"page":"3-14","title":"A survey of multimodal sentiment analysis","type":"article-journal","volume":"65"},"uris":["http://www.mendeley.com/documents/?uuid=52324498-7078-452e-9379-37b6bca9431d"]}],"mendeley":{"formattedCitation":"(Birjali et al., 2021; Do et al., 2019; Soleymani et al., 2017)","plainTextFormattedCitation":"(Birjali et al., 2021; Do et al., 2019; Soleymani et al., 2017)","previouslyFormattedCitation":"(Birjali et al., 2021; Do et al., 2019; Soleymani et al., 2017)"},"properties":{"noteIndex":0},"schema":"https://github.com/citation-style-language/schema/raw/master/csl-citation.json"}</w:instrText>
      </w:r>
      <w:r w:rsidR="0030473D">
        <w:rPr>
          <w:rFonts w:ascii="Gulliver" w:hAnsi="Gulliver"/>
          <w:sz w:val="20"/>
          <w:szCs w:val="20"/>
        </w:rPr>
        <w:fldChar w:fldCharType="separate"/>
      </w:r>
      <w:r w:rsidR="0030473D" w:rsidRPr="0030473D">
        <w:rPr>
          <w:rFonts w:ascii="Gulliver" w:hAnsi="Gulliver"/>
          <w:noProof/>
          <w:sz w:val="20"/>
          <w:szCs w:val="20"/>
        </w:rPr>
        <w:t>(Birjali et al., 2021; Do et al., 2019; Soleymani et al., 2017)</w:t>
      </w:r>
      <w:r w:rsidR="0030473D">
        <w:rPr>
          <w:rFonts w:ascii="Gulliver" w:hAnsi="Gulliver"/>
          <w:sz w:val="20"/>
          <w:szCs w:val="20"/>
        </w:rPr>
        <w:fldChar w:fldCharType="end"/>
      </w:r>
      <w:r w:rsidRPr="00EB3855">
        <w:rPr>
          <w:rFonts w:ascii="Gulliver" w:hAnsi="Gulliver"/>
          <w:sz w:val="20"/>
          <w:szCs w:val="20"/>
        </w:rPr>
        <w:t xml:space="preserve">. For instance, Liu et al. Neural networks improve personalized advertising </w:t>
      </w:r>
      <w:r w:rsidR="0030473D">
        <w:rPr>
          <w:rFonts w:ascii="Gulliver" w:hAnsi="Gulliver"/>
          <w:sz w:val="20"/>
          <w:szCs w:val="20"/>
        </w:rPr>
        <w:fldChar w:fldCharType="begin" w:fldLock="1"/>
      </w:r>
      <w:r w:rsidR="0030473D">
        <w:rPr>
          <w:rFonts w:ascii="Gulliver" w:hAnsi="Gulliver"/>
          <w:sz w:val="20"/>
          <w:szCs w:val="20"/>
        </w:rPr>
        <w:instrText>ADDIN CSL_CITATION {"citationItems":[{"id":"ITEM-1","itemData":{"DOI":"https://doi.org/10.1016/j.icte.2020.04.012","ISSN":"2405-9595","abstract":"There have been numerous applications of artificial intelligence (AI) technologies to online advertising, especially to optimize the reach of target audiences. Previous studies show that improved computational power significantly advances granular audience targeting capabilities. This study investigates and classifies various machine learning techniques that are used to enhance targeted online advertising. Twenty-three machine learning-based online targeted advertising strategies are identified and classified largely into two categories, user-centric and content-centric approaches. The paper also identifies an underexamined area, algorithm-based detection of click frauds, to illustrate how machine learning approaches can be integrated to preserve the viability of online advertising.","author":[{"dropping-particle":"","family":"Choi","given":"Jin-A","non-dropping-particle":"","parse-names":false,"suffix":""},{"dropping-particle":"","family":"Lim","given":"Kiho","non-dropping-particle":"","parse-names":false,"suffix":""}],"container-title":"ICT Express","id":"ITEM-1","issue":"3","issued":{"date-parts":[["2020"]]},"page":"175-180","title":"Identifying machine learning techniques for classification of target advertising","type":"article-journal","volume":"6"},"uris":["http://www.mendeley.com/documents/?uuid=181607e9-877f-4913-a678-c9f4d9b34d81"]},{"id":"ITEM-2","itemData":{"DOI":"https://doi.org/10.1016/j.eswa.2020.113849","ISSN":"0957-4174","abstract":"Trust has an imperative role in online advertising because the effectiveness of the adverts will be greatly affected when consumers distrust online adverts. Currently, the level of consumers' trust in online advertising remains low. The current study will assess the drivers of trust by integrating the Trust Building Model and the ADTRUST scale. Unlike present literature that utilized linear models, a Structural Equation Modelling-Artificial Neural Network (SEM-ANN) approach was used. This is because consumers</w:instrText>
      </w:r>
      <w:r w:rsidR="0030473D">
        <w:rPr>
          <w:rFonts w:ascii="Gulliver" w:hAnsi="Gulliver" w:hint="eastAsia"/>
          <w:sz w:val="20"/>
          <w:szCs w:val="20"/>
        </w:rPr>
        <w:instrText>’</w:instrText>
      </w:r>
      <w:r w:rsidR="0030473D">
        <w:rPr>
          <w:rFonts w:ascii="Gulliver" w:hAnsi="Gulliver"/>
          <w:sz w:val="20"/>
          <w:szCs w:val="20"/>
        </w:rPr>
        <w:instrText xml:space="preserve"> trust-building is a complex process and linear models will over-simplify the complexity in the decision-making processes. Thus, the outcomes from linear models are inadequate and inaccurate to explicate the mechanism of trust creation in online advertising. Data were gathered from 500 online consumers using a mall intercept technique. The outcomes from the sensitivity analysis show that reliability is the most imperative antecedent of trust followed by website quality, willingness to rely on, reputation, and hours spent. The model predicts 76.14% trust in online advertising. The theoretical implication is the integration of the ADTRUST scale with the Trust Building Model. The methodological implication is the use of the SEM-ANN approach that captured both linear-nonlinear and compensatory-non-compensatory associations. The findings provide some useful practical implications for online advertisers, service providers, and retailers. The study has contributed useful theoretical and practical implications to the online marketing literature.","author":[{"dropping-particle":"","family":"Leong","given":"Lai-Ying","non-dropping-particle":"","parse-names":false,"suffix":""},{"dropping-particle":"","family":"Hew","given":"Teck-Soon","non-dropping-particle":"","parse-names":false,"suffix":""},{"dropping-particle":"","family":"Ooi","given":"Keng-Boon","non-dropping-particle":"","parse-names":false,"suffix":""},{"dropping-particle":"","family":"Dwivedi","given":"Yogesh K","non-dropping-particle":"","parse-names":false,"suffix":""}],"container-title":"Expert Systems with Applications","id":"ITEM-2","issued":{"date-parts":[["2020"]]},"page":"113849","title":"Predicting trust in online advertising with an SEM-artificial neural network approach","type":"article-journal","volume":"162"},"uris":["http://www.mendeley.com/documents/?uuid=a699ea20-d084-43f5-818b-38b227fc69c7"]}],"mendeley":{"formattedCitation":"(Choi &amp; Lim, 2020; Leong et al., 2020)","plainTextFormattedCitation":"(Choi &amp; Lim, 2020; Leong et al., 2020)","previouslyFormattedCitation":"(Choi &amp; Lim, 2020; Leong et al., 2020)"},"properties":{"noteIndex":0},"schema":"https://github.com/citation-style-language/schema/raw/master/csl-citation.json"}</w:instrText>
      </w:r>
      <w:r w:rsidR="0030473D">
        <w:rPr>
          <w:rFonts w:ascii="Gulliver" w:hAnsi="Gulliver"/>
          <w:sz w:val="20"/>
          <w:szCs w:val="20"/>
        </w:rPr>
        <w:fldChar w:fldCharType="separate"/>
      </w:r>
      <w:r w:rsidR="0030473D" w:rsidRPr="0030473D">
        <w:rPr>
          <w:rFonts w:ascii="Gulliver" w:hAnsi="Gulliver"/>
          <w:noProof/>
          <w:sz w:val="20"/>
          <w:szCs w:val="20"/>
        </w:rPr>
        <w:t>(Choi &amp; Lim, 2020; Leong et al., 2020)</w:t>
      </w:r>
      <w:r w:rsidR="0030473D">
        <w:rPr>
          <w:rFonts w:ascii="Gulliver" w:hAnsi="Gulliver"/>
          <w:sz w:val="20"/>
          <w:szCs w:val="20"/>
        </w:rPr>
        <w:fldChar w:fldCharType="end"/>
      </w:r>
      <w:r w:rsidRPr="00EB3855">
        <w:rPr>
          <w:rFonts w:ascii="Gulliver" w:hAnsi="Gulliver"/>
          <w:sz w:val="20"/>
          <w:szCs w:val="20"/>
        </w:rPr>
        <w:t xml:space="preserve">, while AI serves as a powerful engagement and prediction tool for customer engagement optimization </w:t>
      </w:r>
      <w:r w:rsidR="0030473D">
        <w:rPr>
          <w:rFonts w:ascii="Gulliver" w:hAnsi="Gulliver"/>
          <w:sz w:val="20"/>
          <w:szCs w:val="20"/>
        </w:rPr>
        <w:fldChar w:fldCharType="begin" w:fldLock="1"/>
      </w:r>
      <w:r w:rsidR="0030473D">
        <w:rPr>
          <w:rFonts w:ascii="Gulliver" w:hAnsi="Gulliver"/>
          <w:sz w:val="20"/>
          <w:szCs w:val="20"/>
        </w:rPr>
        <w:instrText>ADDIN CSL_CITATION {"citationItems":[{"id":"ITEM-1","itemData":{"DOI":"https://doi.org/10.1016/j.ijhm.2020.102629","ISSN":"0278-4319","abstract":"Drawing upon affordance theory, this study positions artificial intelligence (AI) as a commercial service in examining its influence on customer engagement in the hotel context. In particular, we seek to understand linkages between customer perceptions of AI service quality, AI customer satisfaction and engagement. Given the multiplicity of services offered by service organisations, customers</w:instrText>
      </w:r>
      <w:r w:rsidR="0030473D">
        <w:rPr>
          <w:rFonts w:ascii="Gulliver" w:hAnsi="Gulliver" w:hint="eastAsia"/>
          <w:sz w:val="20"/>
          <w:szCs w:val="20"/>
        </w:rPr>
        <w:instrText>’</w:instrText>
      </w:r>
      <w:r w:rsidR="0030473D">
        <w:rPr>
          <w:rFonts w:ascii="Gulliver" w:hAnsi="Gulliver"/>
          <w:sz w:val="20"/>
          <w:szCs w:val="20"/>
        </w:rPr>
        <w:instrText xml:space="preserve"> preference for AI service is modelled as a moderator of customer perceptions and attitudes towards AI. Data was collected from a sample of hotel customers in Australia who had previously used AI tools or services. Our results reveal a significant chain effect between AI service indicators, service quality perceptions, AI satisfaction and customer engagement. AI preference has a significant moderation effect on information quality and satisfaction. These findings provide new insights into the consumer services literature and have important implications for marketing practitioners.","author":[{"dropping-particle":"","family":"Prentice","given":"Catherine","non-dropping-particle":"","parse-names":false,"suffix":""},{"dropping-particle":"","family":"Weaven","given":"Scott","non-dropping-particle":"","parse-names":false,"suffix":""},{"dropping-particle":"","family":"Wong","given":"IpKin Anthony","non-dropping-particle":"","parse-names":false,"suffix":""}],"container-title":"International Journal of Hospitality Management","id":"ITEM-1","issued":{"date-parts":[["2020"]]},"page":"102629","title":"Linking AI quality performance and customer engagement: The moderating effect of AI preference","type":"article-journal","volume":"90"},"uris":["http://www.mendeley.com/documents/?uuid=98c889f4-b5a1-471a-bfc5-17a5d894e9fe"]},{"id":"ITEM-2","itemData":{"DOI":"https://doi.org/10.1016/j.ijin.2022.08.005","ISSN":"2666-6030","abstract":"Artificial Intelligence (AI) has vast potential in marketing. It aids in proliferating information and data sources, improving software's data management capabilities, and designing intricate and advanced algorithms. AI is changing the way brands and users interact with one another. The application of this technology is highly dependent on the nature of the website and the type of business. Marketers can now focus more on the customer and meet their needs in real time. By using AI, they can quickly determine what content to target customers and which channel to employ at what moment, thanks to the data collected and generated by its algorithms. Users feel at ease and are more inclined to buy what is offered when AI is used to personalise their experiences. AI tools can also be used to analyse the performance of a competitor's campaigns and reveal their customers' expectations. Machine Learning (ML) is a subset of AI that allows computers to analyse and interpret data without being explicitly programmed. Furthermore, ML assists humans in solving problems efficiently. The algorithm learns and improves performance and accuracy as more data is fed into the algorithm. For this research, relevant articles on AI in marketing are identified from Scopus, Google scholar, researchGate and other platforms. Then these articles were read, and the theme of the paper was developed. This paper attempts to review the role of AI in marketing. The specific applications of AI in various marketing segments and their transformations for marketing sectors are examined. Finally, critical applications of AI for marketing are recognised and analysed.","author":[{"dropping-particle":"","family":"Haleem","given":"Abid","non-dropping-particle":"","parse-names":false,"suffix":""},{"dropping-particle":"","family":"Javaid","given":"Mohd","non-dropping-particle":"","parse-names":false,"suffix":""},{"dropping-particle":"","family":"Asim Qadri","given":"Mohd","non-dropping-particle":"","parse-names":false,"suffix":""},{"dropping-particle":"","family":"Pratap Singh","given":"Ravi","non-dropping-particle":"","parse-names":false,"suffix":""},{"dropping-particle":"","family":"Suman","given":"Rajiv","non-dropping-particle":"","parse-names":false,"suffix":""}],"container-title":"International Journal of Intelligent Networks","id":"ITEM-2","issued":{"date-parts":[["2022"]]},"page":"119-132","title":"Artificial intelligence (AI) applications for marketing: A literature-based study","type":"article-journal","volume":"3"},"uris":["http://www.mendeley.com/documents/?uuid=830fcce0-ef2b-4a80-8f92-cb8d5821c910"]},{"id":"ITEM-3","itemData":{"DOI":"https://doi.org/10.1016/j.jretconser.2023.103674","ISSN":"0969-6989","abstract":"Artificial intelligence (AI) is revolutionizing consumer</w:instrText>
      </w:r>
      <w:r w:rsidR="0030473D">
        <w:rPr>
          <w:rFonts w:ascii="Gulliver" w:hAnsi="Gulliver" w:hint="eastAsia"/>
          <w:sz w:val="20"/>
          <w:szCs w:val="20"/>
        </w:rPr>
        <w:instrText>–</w:instrText>
      </w:r>
      <w:r w:rsidR="0030473D">
        <w:rPr>
          <w:rFonts w:ascii="Gulliver" w:hAnsi="Gulliver"/>
          <w:sz w:val="20"/>
          <w:szCs w:val="20"/>
        </w:rPr>
        <w:instrText>provider interactions by changing the nature of online purchases. This study uses the social support theory to investigate consumer purchase intentions by combining AI technology, consumer social media engagement, and consumer experience. Online surveys are conducted with 467 Chinese social media users who had experience with online purchasing and AI technology. Partial Least Squares Structural Equation Modelling (PLS-SEM) is used to examine the data and proposed hypothesis. This study finds that AI positively affects consumer experience and consumer engagement on social media. Similarly, a positive relationship exists between social media engagement and consumer experience, leading to a more satisfied consumer and amplified purchase intentions. Additionally, affective attachment moderates the relationship between consumer satisfaction and purchase intention. The results reveal that AI can be used on social media to improve consumer experience and increase customer satisfaction levels and purchase intention. We also provide tips for developing flawless service business models. Marketers should explore making social media posts more engaging by using vibrant images and videos to attract customers and prompt them to create, circulate, and share said content on various social media networks.","author":[{"dropping-particle":"","family":"Bilal","given":"Muhammad","non-dropping-particle":"","parse-names":false,"suffix":""},{"dropping-particle":"","family":"Zhang","given":"Yunfeng","non-dropping-particle":"","parse-names":false,"suffix":""},{"dropping-particle":"","family":"Cai","given":"Shukai","non-dropping-particle":"","parse-names":false,"suffix":""},{"dropping-particle":"","family":"Akram","given":"Umair","non-dropping-particle":"","parse-names":false,"suffix":""},{"dropping-particle":"","family":"Halibas","given":"Alrence","non-dropping-particle":"","parse-names":false,"suffix":""}],"container-title":"Journal of Retailing and Consumer Services","id":"ITEM-3","issued":{"date-parts":[["2024"]]},"page":"103674","title":"Artificial intelligence is the magic wand making customer-centric a reality! An investigation into the relationship between consumer purchase intention and consumer engagement through affective attachment","type":"article-journal","volume":"77"},"uris":["http://www.mendeley.com/documents/?uuid=5f3ff49a-434c-4aff-9f44-121f7e8944dc"]}],"mendeley":{"formattedCitation":"(Bilal et al., 2024; Haleem et al., 2022; Prentice et al., 2020)","plainTextFormattedCitation":"(Bilal et al., 2024; Haleem et al., 2022; Prentice et al., 2020)","previouslyFormattedCitation":"(Bilal et al., 2024; Haleem et al., 2022; Prentice et al., 2020)"},"properties":{"noteIndex":0},"schema":"https://github.com/citation-style-language/schema/raw/master/csl-citation.json"}</w:instrText>
      </w:r>
      <w:r w:rsidR="0030473D">
        <w:rPr>
          <w:rFonts w:ascii="Gulliver" w:hAnsi="Gulliver"/>
          <w:sz w:val="20"/>
          <w:szCs w:val="20"/>
        </w:rPr>
        <w:fldChar w:fldCharType="separate"/>
      </w:r>
      <w:r w:rsidR="0030473D" w:rsidRPr="0030473D">
        <w:rPr>
          <w:rFonts w:ascii="Gulliver" w:hAnsi="Gulliver"/>
          <w:noProof/>
          <w:sz w:val="20"/>
          <w:szCs w:val="20"/>
        </w:rPr>
        <w:t>(Bilal et al., 2024; Haleem et al., 2022; Prentice et al., 2020)</w:t>
      </w:r>
      <w:r w:rsidR="0030473D">
        <w:rPr>
          <w:rFonts w:ascii="Gulliver" w:hAnsi="Gulliver"/>
          <w:sz w:val="20"/>
          <w:szCs w:val="20"/>
        </w:rPr>
        <w:fldChar w:fldCharType="end"/>
      </w:r>
      <w:r w:rsidRPr="00EB3855">
        <w:rPr>
          <w:rFonts w:ascii="Gulliver" w:hAnsi="Gulliver"/>
          <w:sz w:val="20"/>
          <w:szCs w:val="20"/>
        </w:rPr>
        <w:t xml:space="preserve">. </w:t>
      </w:r>
      <w:r w:rsidRPr="00EB3855">
        <w:rPr>
          <w:rFonts w:ascii="Gulliver" w:hAnsi="Gulliver"/>
          <w:sz w:val="20"/>
          <w:szCs w:val="20"/>
        </w:rPr>
        <w:t xml:space="preserve">For example, reinforcement learning algorithms for dynamic pricing </w:t>
      </w:r>
      <w:r w:rsidR="0030473D">
        <w:rPr>
          <w:rFonts w:ascii="Gulliver" w:hAnsi="Gulliver"/>
          <w:sz w:val="20"/>
          <w:szCs w:val="20"/>
        </w:rPr>
        <w:fldChar w:fldCharType="begin" w:fldLock="1"/>
      </w:r>
      <w:r w:rsidR="00304A77">
        <w:rPr>
          <w:rFonts w:ascii="Gulliver" w:hAnsi="Gulliver"/>
          <w:sz w:val="20"/>
          <w:szCs w:val="20"/>
        </w:rPr>
        <w:instrText>ADDIN CSL_CITATION {"citationItems":[{"id":"ITEM-1","itemData":{"DOI":"https://doi.org/10.1016/j.jretconser.2021.102551","ISSN":"0969-6989","abstract":"Astoundingly, recent technological advancements have enabled robots to display emotions. Yet, while emotional expression is valued in the field of service, understanding emotions in human-robot interaction remains underexplored. Since emotions are contagious/transmittable, this study utilised Instagram data to uncover how emotional robots influence potential consumers</w:instrText>
      </w:r>
      <w:r w:rsidR="00304A77">
        <w:rPr>
          <w:rFonts w:ascii="Gulliver" w:hAnsi="Gulliver" w:hint="eastAsia"/>
          <w:sz w:val="20"/>
          <w:szCs w:val="20"/>
        </w:rPr>
        <w:instrText>’</w:instrText>
      </w:r>
      <w:r w:rsidR="00304A77">
        <w:rPr>
          <w:rFonts w:ascii="Gulliver" w:hAnsi="Gulliver"/>
          <w:sz w:val="20"/>
          <w:szCs w:val="20"/>
        </w:rPr>
        <w:instrText xml:space="preserve"> affective feelings. By employing machine learning algorithms and sentiment analysis, the findings suggest that the expressions of surprise and happiness are key to creating positive impacts on potential consumers. The cross-disciplinary nature of this study lays the groundwork for next-level social, design, and creative experiences in artificial intelligence research regarding consumer service and experience contexts.","author":[{"dropping-particle":"","family":"Chuah","given":"Stephanie Hui-Wen","non-dropping-particle":"","parse-names":false,"suffix":""},{"dropping-particle":"","family":"Yu","given":"Joanne","non-dropping-particle":"","parse-names":false,"suffix":""}],"container-title":"Journal of Retailing and Consumer Services","id":"ITEM-1","issued":{"date-parts":[["2021"]]},"page":"102551","title":"The future of service: The power of emotion in human-robot interaction","type":"article-journal","volume":"61"},"uris":["http://www.mendeley.com/documents/?uuid=3e57f360-33d6-4cf8-bd20-7d1a0612fc1b"]},{"id":"ITEM-2","itemData":{"DOI":"https://doi.org/10.1016/j.apenergy.2018.03.072","ISSN":"0306-2619","abstract":"With the modern advanced information and communication technologies in smart grid systems, demand response (DR) has become an effective method for improving grid reliability and reducing energy costs due to the ability to react quickly to supply-demand mismatches by adjusting flexible loads on the demand side. This paper proposes a dynamic pricing DR algorithm for energy management in a hierarchical electricity market that considers both service provider</w:instrText>
      </w:r>
      <w:r w:rsidR="00304A77">
        <w:rPr>
          <w:rFonts w:ascii="Gulliver" w:hAnsi="Gulliver" w:hint="eastAsia"/>
          <w:sz w:val="20"/>
          <w:szCs w:val="20"/>
        </w:rPr>
        <w:instrText>’</w:instrText>
      </w:r>
      <w:r w:rsidR="00304A77">
        <w:rPr>
          <w:rFonts w:ascii="Gulliver" w:hAnsi="Gulliver"/>
          <w:sz w:val="20"/>
          <w:szCs w:val="20"/>
        </w:rPr>
        <w:instrText>s (SP) profit and customers</w:instrText>
      </w:r>
      <w:r w:rsidR="00304A77">
        <w:rPr>
          <w:rFonts w:ascii="Gulliver" w:hAnsi="Gulliver" w:hint="eastAsia"/>
          <w:sz w:val="20"/>
          <w:szCs w:val="20"/>
        </w:rPr>
        <w:instrText>’</w:instrText>
      </w:r>
      <w:r w:rsidR="00304A77">
        <w:rPr>
          <w:rFonts w:ascii="Gulliver" w:hAnsi="Gulliver"/>
          <w:sz w:val="20"/>
          <w:szCs w:val="20"/>
        </w:rPr>
        <w:instrText xml:space="preserve"> (CUs) costs. Reinforcement learning (RL) is used to illustrate the hierarchical decision-making framework, in which the dynamic pricing problem is formulated as a discrete finite Markov decision process (MDP), and Q-learning is adopted to solve this decision-making problem. Using RL, the SP can adaptively decide the retail electricity price during the on-line learning process where the uncertainty of CUs</w:instrText>
      </w:r>
      <w:r w:rsidR="00304A77">
        <w:rPr>
          <w:rFonts w:ascii="Gulliver" w:hAnsi="Gulliver" w:hint="eastAsia"/>
          <w:sz w:val="20"/>
          <w:szCs w:val="20"/>
        </w:rPr>
        <w:instrText>’</w:instrText>
      </w:r>
      <w:r w:rsidR="00304A77">
        <w:rPr>
          <w:rFonts w:ascii="Gulliver" w:hAnsi="Gulliver"/>
          <w:sz w:val="20"/>
          <w:szCs w:val="20"/>
        </w:rPr>
        <w:instrText xml:space="preserve"> load demand profiles and the flexibility of wholesale electricity prices are addressed. Simulation results show that this proposed DR algorithm, can promote SP profitability, reduce energy costs for CUs, balance energy supply and demand in the electricity market, and improve the reliability of electric power systems, which can be regarded as a win-win strategy for both SP and CUs.","author":[{"dropping-particle":"","family":"Lu","given":"Renzhi","non-dropping-particle":"","parse-names":false,"suffix":""},{"dropping-particle":"","family":"Hong","given":"Seung Ho","non-dropping-particle":"","parse-names":false,"suffix":""},{"dropping-particle":"","family":"Zhang","given":"Xiongfeng","non-dropping-particle":"","parse-names":false,"suffix":""}],"container-title":"Applied Energy","id":"ITEM-2","issued":{"date-parts":[["2018"]]},"page":"220-230","title":"A Dynamic pricing demand response algorithm for smart grid: Reinforcement learning approach","type":"article-journal","volume":"220"},"uris":["http://www.mendeley.com/documents/?uuid=fb3e4a0d-fe5e-4f4b-a9c3-1f6c39b3f96a"]}],"mendeley":{"formattedCitation":"(Chuah &amp; Yu, 2021; Lu et al., 2018)","manualFormatting":"Chuah &amp; Yu (2021), Lu et al. (2018)","plainTextFormattedCitation":"(Chuah &amp; Yu, 2021; Lu et al., 2018)","previouslyFormattedCitation":"(Chuah &amp; Yu, 2021; Lu et al., 2018)"},"properties":{"noteIndex":0},"schema":"https://github.com/citation-style-language/schema/raw/master/csl-citation.json"}</w:instrText>
      </w:r>
      <w:r w:rsidR="0030473D">
        <w:rPr>
          <w:rFonts w:ascii="Gulliver" w:hAnsi="Gulliver"/>
          <w:sz w:val="20"/>
          <w:szCs w:val="20"/>
        </w:rPr>
        <w:fldChar w:fldCharType="separate"/>
      </w:r>
      <w:r w:rsidR="0030473D" w:rsidRPr="0030473D">
        <w:rPr>
          <w:rFonts w:ascii="Gulliver" w:hAnsi="Gulliver"/>
          <w:noProof/>
          <w:sz w:val="20"/>
          <w:szCs w:val="20"/>
        </w:rPr>
        <w:t xml:space="preserve">Chuah &amp; Yu </w:t>
      </w:r>
      <w:r w:rsidR="0030473D">
        <w:rPr>
          <w:rFonts w:ascii="Gulliver" w:hAnsi="Gulliver"/>
          <w:noProof/>
          <w:sz w:val="20"/>
          <w:szCs w:val="20"/>
        </w:rPr>
        <w:t>(</w:t>
      </w:r>
      <w:r w:rsidR="0030473D" w:rsidRPr="0030473D">
        <w:rPr>
          <w:rFonts w:ascii="Gulliver" w:hAnsi="Gulliver"/>
          <w:noProof/>
          <w:sz w:val="20"/>
          <w:szCs w:val="20"/>
        </w:rPr>
        <w:t>2021</w:t>
      </w:r>
      <w:r w:rsidR="0030473D">
        <w:rPr>
          <w:rFonts w:ascii="Gulliver" w:hAnsi="Gulliver"/>
          <w:noProof/>
          <w:sz w:val="20"/>
          <w:szCs w:val="20"/>
        </w:rPr>
        <w:t>),</w:t>
      </w:r>
      <w:r w:rsidR="0030473D" w:rsidRPr="0030473D">
        <w:rPr>
          <w:rFonts w:ascii="Gulliver" w:hAnsi="Gulliver"/>
          <w:noProof/>
          <w:sz w:val="20"/>
          <w:szCs w:val="20"/>
        </w:rPr>
        <w:t xml:space="preserve"> Lu et al. </w:t>
      </w:r>
      <w:r w:rsidR="0030473D">
        <w:rPr>
          <w:rFonts w:ascii="Gulliver" w:hAnsi="Gulliver"/>
          <w:noProof/>
          <w:sz w:val="20"/>
          <w:szCs w:val="20"/>
        </w:rPr>
        <w:t>(</w:t>
      </w:r>
      <w:r w:rsidR="0030473D" w:rsidRPr="0030473D">
        <w:rPr>
          <w:rFonts w:ascii="Gulliver" w:hAnsi="Gulliver"/>
          <w:noProof/>
          <w:sz w:val="20"/>
          <w:szCs w:val="20"/>
        </w:rPr>
        <w:t>2018)</w:t>
      </w:r>
      <w:r w:rsidR="0030473D">
        <w:rPr>
          <w:rFonts w:ascii="Gulliver" w:hAnsi="Gulliver"/>
          <w:sz w:val="20"/>
          <w:szCs w:val="20"/>
        </w:rPr>
        <w:fldChar w:fldCharType="end"/>
      </w:r>
      <w:r w:rsidR="0030473D">
        <w:rPr>
          <w:rFonts w:ascii="Gulliver" w:hAnsi="Gulliver"/>
          <w:sz w:val="20"/>
          <w:szCs w:val="20"/>
        </w:rPr>
        <w:t xml:space="preserve"> </w:t>
      </w:r>
      <w:r w:rsidRPr="00EB3855">
        <w:rPr>
          <w:rFonts w:ascii="Gulliver" w:hAnsi="Gulliver"/>
          <w:sz w:val="20"/>
          <w:szCs w:val="20"/>
        </w:rPr>
        <w:t xml:space="preserve">and natural language processing for chatbot interactions </w:t>
      </w:r>
      <w:r w:rsidR="0030473D">
        <w:rPr>
          <w:rFonts w:ascii="Gulliver" w:hAnsi="Gulliver"/>
          <w:sz w:val="20"/>
          <w:szCs w:val="20"/>
        </w:rPr>
        <w:fldChar w:fldCharType="begin" w:fldLock="1"/>
      </w:r>
      <w:r w:rsidR="00304A77">
        <w:rPr>
          <w:rFonts w:ascii="Gulliver" w:hAnsi="Gulliver"/>
          <w:sz w:val="20"/>
          <w:szCs w:val="20"/>
        </w:rPr>
        <w:instrText>ADDIN CSL_CITATION {"citationItems":[{"id":"ITEM-1","itemData":{"DOI":"10.1007/978-3-031-14302-1_9","ISBN":"978-3-031-14302-1","abstract":"Over the past four decades, operations research (OR) has played a key role in solving complex problems in travel. More recently, artificial intelligence (AI) has seen rapid adoption in travel that covers everything from robotic process automation, to cognitive insight, to cognitive engagement. This chapter discusses the role of AI in lodging and its potential to address travel complexity, solve a range of problems, and create new value propositions. This chapter also reviews the role of big data and blockchain technology in travel. Leveraging big data and blockchain is reviewed with a series of examples.","author":[{"dropping-particle":"","family":"Vinod","given":"Ben","non-dropping-particle":"","parse-names":false,"suffix":""}],"editor":[{"dropping-particle":"","family":"Vinod","given":"Ben","non-dropping-particle":"","parse-names":false,"suffix":""}],"id":"ITEM-1","issued":{"date-parts":[["2022"]]},"page":"279-313","publisher":"Springer International Publishing","publisher-place":"Cham","title":"Artificial Intelligence and Emerging Technologies in Hospitality BT  - Revenue Management in the Lodging Industry: Origins to the Last Frontier","type":"chapter"},"uris":["http://www.mendeley.com/documents/?uuid=4ddb362d-cd74-4f91-bfb5-05fa5c16dec2"]},{"id":"ITEM-2","itemData":{"DOI":"https://doi.org/10.1016/j.ipm.2023.103440","ISSN":"0306-4573","abstract":"Chatbots actively help the human user through digital conversation through NLP based on artificial intelligence (AI). It can be pre-trained to understand the user's queries and produce an immediate response in NLP. The user input of the chatbot is any format like voice, text, sentiments, etc. Many research works have been implemented. The issues of existing works are that during the digital conversation, it does not accurately identify the user's requirement, it may go irrelevant to the user's query, and also, primarily, it is voice-based and faces hitches in the analysis of the user's intention, unable to track the context in long-conversation. Therefore, for understanding the context, sentimental calculations are essential. This paper proposed to make the immediate response of users in the chatbot by using Bi-directional Recurrent Neural Network with a Fuzzy Na</w:instrText>
      </w:r>
      <w:r w:rsidR="00304A77">
        <w:rPr>
          <w:rFonts w:ascii="Gulliver" w:hAnsi="Gulliver" w:hint="eastAsia"/>
          <w:sz w:val="20"/>
          <w:szCs w:val="20"/>
        </w:rPr>
        <w:instrText>ï</w:instrText>
      </w:r>
      <w:r w:rsidR="00304A77">
        <w:rPr>
          <w:rFonts w:ascii="Gulliver" w:hAnsi="Gulliver"/>
          <w:sz w:val="20"/>
          <w:szCs w:val="20"/>
        </w:rPr>
        <w:instrText>ve Bayes classifier (BRNN-FNB). This paper aims to build chatbot models with AI-based sentimental analysis, which helps humans to perform accurate interactions. The working concept of chatbots is based on two forms of artificial intelligence domains: machine learning and natural language processing. It may be used in many applications like digital marketing, education, and online forums. The accuracy rate of the proposed work BRNN-FNB got 93% using the Seq-to-Seq technique. And also, the accuracy rate of the proposed work BRNN-FNB without using Seq-to-Seq got 92%.","author":[{"dropping-particle":"","family":"Dongbo","given":"Ma","non-dropping-particle":"","parse-names":false,"suffix":""},{"dropping-particle":"","family":"Miniaoui","given":"Sami","non-dropping-particle":"","parse-names":false,"suffix":""},{"dropping-particle":"","family":"Fen","given":"Li","non-dropping-particle":"","parse-names":false,"suffix":""},{"dropping-particle":"","family":"Althubiti","given":"Sara A","non-dropping-particle":"","parse-names":false,"suffix":""},{"dropping-particle":"","family":"Alsenani","given":"Theyab R","non-dropping-particle":"","parse-names":false,"suffix":""}],"container-title":"Information Processing &amp; Management","id":"ITEM-2","issue":"5","issued":{"date-parts":[["2023"]]},"page":"103440","title":"Intelligent chatbot interaction system capable for sentimental analysis using hybrid machine learning algorithms","type":"article-journal","volume":"60"},"uris":["http://www.mendeley.com/documents/?uuid=eca0fe8f-eb8a-4dfb-8d98-33dd36935869"]},{"id":"ITEM-3","itemData":{"DOI":"https://doi.org/10.1016/j.eswa.2021.115461","ISSN":"0957-4174","abstract":"Chatbots or Conversational agents are the next significant technological leap in the field of conversational services, that is, enabling a device to communicate with a user upon receiving user requests in natural language. The device uses artificial intelligence and machine learning to respond to the user with automated responses. While this is a relatively new area of study, the application of this concept has increased substantially over the last few years. The technology is no longer limited to merely emulating human conversation but is also being increasingly used to answer questions, either in academic environments or in commercial uses, such as situations requiring assistants to seek reasons for customer dissatisfaction or recommending products and services. The primary purpose of this literature review is to identify and study the existing literature on cutting-edge technology in developing chatbots in terms of research trends, their components and techniques, datasets and domains used, as well as evaluation metrics most used between 2011 and 2020. Using the standard SLR guidelines designed by Kitchenham, this work adopts a systematic literature review approach and utilizes five prestigious scientific databases for identifying, extracting, and analyzing all relevant publications during the search. The related publications were filtered based on inclusion/exclusion criteria and quality assessment to obtain the final review paper. The results of the review indicate that the exploitation of deep learning and reinforcement learning architecture is the most used technique to understand users</w:instrText>
      </w:r>
      <w:r w:rsidR="00304A77">
        <w:rPr>
          <w:rFonts w:ascii="Gulliver" w:hAnsi="Gulliver" w:hint="eastAsia"/>
          <w:sz w:val="20"/>
          <w:szCs w:val="20"/>
        </w:rPr>
        <w:instrText>’</w:instrText>
      </w:r>
      <w:r w:rsidR="00304A77">
        <w:rPr>
          <w:rFonts w:ascii="Gulliver" w:hAnsi="Gulliver"/>
          <w:sz w:val="20"/>
          <w:szCs w:val="20"/>
        </w:rPr>
        <w:instrText xml:space="preserve"> requests and to generate appropriate responses. Besides, we also found that the Twitter dataset (open domain) is the most popular dataset used for evaluation, followed by Airline Travel Information Systems (ATIS) (close domain) and Ubuntu Dialog Corpora (technical support) datasets. The SLR review also indicates that the open domain provided by the Twitter dataset, airline and technical support are the most common domains for chatbots. Moreover, the metrics utilized most often for evaluating chatbot performance (in descending order of popularity) were found to be accuracy, F1-Score, BLEU (Bilingual Evaluation Understudy), recall, human-evaluation, and precision.","author":[{"dropping-particle":"","family":"Mohamad Suhaili","given":"Sinarwati","non-dropping-particle":"","parse-names":false,"suffix":""},{"dropping-particle":"","family":"Salim","given":"Naomie","non-dropping-particle":"","parse-names":false,"suffix":""},{"dropping-particle":"","family":"Jambli","given":"Mohamad Nazim","non-dropping-particle":"","parse-names":false,"suffix":""}],"container-title":"Expert Systems with Applications","id":"ITEM-3","issued":{"date-parts":[["2021"]]},"page":"115461","title":"Service chatbots: A systematic review","type":"article-journal","volume":"184"},"uris":["http://www.mendeley.com/documents/?uuid=f3158de8-6c68-4f6f-8666-f8fcaf330b71"]}],"mendeley":{"formattedCitation":"(Dongbo et al., 2023; Mohamad Suhaili et al., 2021; Vinod, 2022)","manualFormatting":"Dongbo et al. (2023), Mohamad Suhaili et al. (2021), Vinod (2022)","plainTextFormattedCitation":"(Dongbo et al., 2023; Mohamad Suhaili et al., 2021; Vinod, 2022)","previouslyFormattedCitation":"(Dongbo et al., 2023; Mohamad Suhaili et al., 2021; Vinod, 2022)"},"properties":{"noteIndex":0},"schema":"https://github.com/citation-style-language/schema/raw/master/csl-citation.json"}</w:instrText>
      </w:r>
      <w:r w:rsidR="0030473D">
        <w:rPr>
          <w:rFonts w:ascii="Gulliver" w:hAnsi="Gulliver"/>
          <w:sz w:val="20"/>
          <w:szCs w:val="20"/>
        </w:rPr>
        <w:fldChar w:fldCharType="separate"/>
      </w:r>
      <w:r w:rsidR="00304A77" w:rsidRPr="00304A77">
        <w:rPr>
          <w:rFonts w:ascii="Gulliver" w:hAnsi="Gulliver"/>
          <w:noProof/>
          <w:sz w:val="20"/>
          <w:szCs w:val="20"/>
        </w:rPr>
        <w:t xml:space="preserve">Dongbo et al. </w:t>
      </w:r>
      <w:r w:rsidR="00304A77">
        <w:rPr>
          <w:rFonts w:ascii="Gulliver" w:hAnsi="Gulliver"/>
          <w:noProof/>
          <w:sz w:val="20"/>
          <w:szCs w:val="20"/>
        </w:rPr>
        <w:t>(</w:t>
      </w:r>
      <w:r w:rsidR="00304A77" w:rsidRPr="00304A77">
        <w:rPr>
          <w:rFonts w:ascii="Gulliver" w:hAnsi="Gulliver"/>
          <w:noProof/>
          <w:sz w:val="20"/>
          <w:szCs w:val="20"/>
        </w:rPr>
        <w:t>2023</w:t>
      </w:r>
      <w:r w:rsidR="00304A77">
        <w:rPr>
          <w:rFonts w:ascii="Gulliver" w:hAnsi="Gulliver"/>
          <w:noProof/>
          <w:sz w:val="20"/>
          <w:szCs w:val="20"/>
        </w:rPr>
        <w:t>),</w:t>
      </w:r>
      <w:r w:rsidR="00304A77" w:rsidRPr="00304A77">
        <w:rPr>
          <w:rFonts w:ascii="Gulliver" w:hAnsi="Gulliver"/>
          <w:noProof/>
          <w:sz w:val="20"/>
          <w:szCs w:val="20"/>
        </w:rPr>
        <w:t xml:space="preserve"> Mohamad Suhaili et al. </w:t>
      </w:r>
      <w:r w:rsidR="00304A77">
        <w:rPr>
          <w:rFonts w:ascii="Gulliver" w:hAnsi="Gulliver"/>
          <w:noProof/>
          <w:sz w:val="20"/>
          <w:szCs w:val="20"/>
        </w:rPr>
        <w:t>(</w:t>
      </w:r>
      <w:r w:rsidR="00304A77" w:rsidRPr="00304A77">
        <w:rPr>
          <w:rFonts w:ascii="Gulliver" w:hAnsi="Gulliver"/>
          <w:noProof/>
          <w:sz w:val="20"/>
          <w:szCs w:val="20"/>
        </w:rPr>
        <w:t>2021</w:t>
      </w:r>
      <w:r w:rsidR="00304A77">
        <w:rPr>
          <w:rFonts w:ascii="Gulliver" w:hAnsi="Gulliver"/>
          <w:noProof/>
          <w:sz w:val="20"/>
          <w:szCs w:val="20"/>
        </w:rPr>
        <w:t>),</w:t>
      </w:r>
      <w:r w:rsidR="00304A77" w:rsidRPr="00304A77">
        <w:rPr>
          <w:rFonts w:ascii="Gulliver" w:hAnsi="Gulliver"/>
          <w:noProof/>
          <w:sz w:val="20"/>
          <w:szCs w:val="20"/>
        </w:rPr>
        <w:t xml:space="preserve"> Vinod </w:t>
      </w:r>
      <w:r w:rsidR="00304A77">
        <w:rPr>
          <w:rFonts w:ascii="Gulliver" w:hAnsi="Gulliver"/>
          <w:noProof/>
          <w:sz w:val="20"/>
          <w:szCs w:val="20"/>
        </w:rPr>
        <w:t>(</w:t>
      </w:r>
      <w:r w:rsidR="00304A77" w:rsidRPr="00304A77">
        <w:rPr>
          <w:rFonts w:ascii="Gulliver" w:hAnsi="Gulliver"/>
          <w:noProof/>
          <w:sz w:val="20"/>
          <w:szCs w:val="20"/>
        </w:rPr>
        <w:t>2022)</w:t>
      </w:r>
      <w:r w:rsidR="0030473D">
        <w:rPr>
          <w:rFonts w:ascii="Gulliver" w:hAnsi="Gulliver"/>
          <w:sz w:val="20"/>
          <w:szCs w:val="20"/>
        </w:rPr>
        <w:fldChar w:fldCharType="end"/>
      </w:r>
      <w:r w:rsidR="0030473D">
        <w:rPr>
          <w:rFonts w:ascii="Gulliver" w:hAnsi="Gulliver"/>
          <w:sz w:val="20"/>
          <w:szCs w:val="20"/>
        </w:rPr>
        <w:t xml:space="preserve">, </w:t>
      </w:r>
      <w:r w:rsidRPr="00EB3855">
        <w:rPr>
          <w:rFonts w:ascii="Gulliver" w:hAnsi="Gulliver"/>
          <w:sz w:val="20"/>
          <w:szCs w:val="20"/>
        </w:rPr>
        <w:t xml:space="preserve"> are just some recent innovations that showcase the transformative role of AI in marketing. Nonetheless, the swift embrace of these technologies leads to questions about transparency and interpretability. Despite the growing adoption of AI in the mapping of customer journeys, the impact of repaid, AI-driven personalization and automation in understanding subtle customer behaviour is less well understood </w:t>
      </w:r>
      <w:r w:rsidR="00304A77">
        <w:rPr>
          <w:rFonts w:ascii="Gulliver" w:hAnsi="Gulliver"/>
          <w:sz w:val="20"/>
          <w:szCs w:val="20"/>
        </w:rPr>
        <w:fldChar w:fldCharType="begin" w:fldLock="1"/>
      </w:r>
      <w:r w:rsidR="00304A77">
        <w:rPr>
          <w:rFonts w:ascii="Gulliver" w:hAnsi="Gulliver"/>
          <w:sz w:val="20"/>
          <w:szCs w:val="20"/>
        </w:rPr>
        <w:instrText>ADDIN CSL_CITATION {"citationItems":[{"id":"ITEM-1","itemData":{"DOI":"https://doi.org/10.1016/j.jbusres.2024.114657","ISSN":"0148-2963","abstract":"In an era where both human and virtual influencers play pivotal roles in shaping consumer behavior, understanding their influence on consumers' reactions to service failures has become an essential scholarly pursuit. This research stands at the forefront of this burgeoning field, dissecting the unique impact of human versus virtual influencers on consumer attitudes toward service failures, including forgiveness propensity, behavioral responses, and punishment intention. Through a series of experimental studies, the research uncovers a nuanced preference for virtual influencers, who elicit higher levels of forgiveness, more positive behavioral responses, and lower punitive intentions during service failures. These findings are mediated by mind perception and responsibility attribution, and are moderated by familiarity, thereby unveiling a complex interplay of psychological processes. The study's contributions transcend mere observations, offering a theoretical framework with empirical testing that integrates consumer psychology with the emergent phenomenon of virtual influencers. The insights gleaned from this research not only enhance academic understanding of the dynamics between influencer types and consumer reactions but also provide actionable strategies for marketers. By bridging theory and practice, this study carves a new path in influencer marketing research, particularly illuminating how to leverage influencer types to mitigate negative consumer reactions due to service failures.","author":[{"dropping-particle":"","family":"Zhao","given":"Taiyang","non-dropping-particle":"","parse-names":false,"suffix":""},{"dropping-particle":"","family":"Ran","given":"Yaxuan","non-dropping-particle":"","parse-names":false,"suffix":""},{"dropping-particle":"","family":"Wu","given":"Banggang","non-dropping-particle":"","parse-names":false,"suffix":""},{"dropping-particle":"","family":"Lynette Wang","given":"Valerie","non-dropping-particle":"","parse-names":false,"suffix":""},{"dropping-particle":"","family":"Zhou","given":"Liying","non-dropping-particle":"","parse-names":false,"suffix":""},{"dropping-particle":"","family":"Lu Wang","given":"Cheng","non-dropping-particle":"","parse-names":false,"suffix":""}],"container-title":"Journal of Business Research","id":"ITEM-1","issued":{"date-parts":[["2024"]]},"page":"114657","title":"Virtual versus human: Unraveling consumer reactions to service failures through influencer types","type":"article-journal","volume":"178"},"uris":["http://www.mendeley.com/documents/?uuid=b10a0a3a-c8fa-4cce-ab4c-3a1b172d09dd"]},{"id":"ITEM-2","itemData":{"DOI":"https://doi.org/10.1016/B978-0-443-13191-2.00009-2","ISBN":"978-0-443-13191-2","abstract":"Conventionally, civil engineering is the branch mainly related to the construction of buildings, bridges, highways, etc. Presently, the scope of civil engineering is widening, and several new subdomains are under progression. A large number of experimental works are required to estimate the properties and tasks related to construction. The analytical models are not sufficient to actually predict these different tasks related to civil engineering. The various benefits of reducing experimental work are that it reduces waste as well as saves time and cost. Artificial intelligence (AI) is a branch of computer science, and nowadays, in all areas of research, engineering, and industry, AI applications are becoming widespread. In both directions, glocal (global to local) and lobal (local to global), AI is affecting human lives. AI techniques provide an alternative to traditional methods for a wide range of complex civil engineering issues, particularly in the fields of concrete technology, structural health monitoring, geotechnical engineering, transportation engineering, construction management, architectural engineering, indoor environmental quality, space structures, irrigation, environmental engineering, and structural analysis. AI is successful in areas where physical testing is not possible, which ultimately minimizes the time, expenditure, and human effort required by traditional testing methods. The main advantage of using AI technology is its capacity to make quick decisions and remove mistakes while giving quick results. It is evident from recent technical developments and AI applications that disruption of conventional patterns is eventually pounding on the door of civil engineering projects. What can we do to get ready for the subsequent changes? More significantly, how will we capitalize on the enormous possibilities that will arise? In this chapter, the basic information about AI and the application of AI in the different dimensions of civil engineering and its future are summarized from an immersive research viewpoint.","author":[{"dropping-particle":"","family":"Kapoor","given":"Nishant Raj","non-dropping-particle":"","parse-names":false,"suffix":""},{"dropping-particle":"","family":"Kumar","given":"Ashok","non-dropping-particle":"","parse-names":false,"suffix":""},{"dropping-particle":"","family":"Kumar","given":"Anuj","non-dropping-particle":"","parse-names":false,"suffix":""},{"dropping-particle":"","family":"Kumar","given":"Aman","non-dropping-particle":"","parse-names":false,"suffix":""},{"dropping-particle":"","family":"Arora","given":"Harish Chandra","non-dropping-particle":"","parse-names":false,"suffix":""}],"container-title":"Woodhead Publishing Series in Civil and Structural Engineering","editor":[{"dropping-particle":"","family":"Nehdi","given":"Moncef L","non-dropping-particle":"","parse-names":false,"suffix":""},{"dropping-particle":"","family":"Arora","given":"Harish Chandra","non-dropping-particle":"","parse-names":false,"suffix":""},{"dropping-particle":"","family":"Kumar","given":"Krishna","non-dropping-particle":"","parse-names":false,"suffix":""},{"dropping-particle":"","family":"Dama</w:instrText>
      </w:r>
      <w:r w:rsidR="00304A77">
        <w:rPr>
          <w:rFonts w:ascii="Gulliver" w:hAnsi="Gulliver" w:hint="eastAsia"/>
          <w:sz w:val="20"/>
          <w:szCs w:val="20"/>
        </w:rPr>
        <w:instrText>š</w:instrText>
      </w:r>
      <w:r w:rsidR="00304A77">
        <w:rPr>
          <w:rFonts w:ascii="Gulliver" w:hAnsi="Gulliver"/>
          <w:sz w:val="20"/>
          <w:szCs w:val="20"/>
        </w:rPr>
        <w:instrText>evi</w:instrText>
      </w:r>
      <w:r w:rsidR="00304A77">
        <w:rPr>
          <w:rFonts w:ascii="Gulliver" w:hAnsi="Gulliver" w:hint="eastAsia"/>
          <w:sz w:val="20"/>
          <w:szCs w:val="20"/>
        </w:rPr>
        <w:instrText>č</w:instrText>
      </w:r>
      <w:r w:rsidR="00304A77">
        <w:rPr>
          <w:rFonts w:ascii="Gulliver" w:hAnsi="Gulliver"/>
          <w:sz w:val="20"/>
          <w:szCs w:val="20"/>
        </w:rPr>
        <w:instrText>ius","given":"Robertas","non-dropping-particle":"","parse-names":false,"suffix":""},{"dropping-particle":"","family":"Kumar","given":"Aman B T - Artificial Intelligence Applications for Sustainable Construction","non-dropping-particle":"","parse-names":false,"suffix":""}],"id":"ITEM-2","issued":{"date-parts":[["2024"]]},"page":"1-74","publisher":"Woodhead Publishing","title":"1 - Artificial intelligence in civil engineering: An immersive view","type":"chapter"},"uris":["http://www.mendeley.com/documents/?uuid=d9196630-d150-4ee0-8248-088f9acc08ed"]}],"mendeley":{"formattedCitation":"(Kapoor et al., 2024; Zhao et al., 2024)","plainTextFormattedCitation":"(Kapoor et al., 2024; Zhao et al., 2024)","previouslyFormattedCitation":"(Kapoor et al., 2024; Zhao et al., 2024)"},"properties":{"noteIndex":0},"schema":"https://github.com/citation-style-language/schema/raw/master/csl-citation.json"}</w:instrText>
      </w:r>
      <w:r w:rsidR="00304A77">
        <w:rPr>
          <w:rFonts w:ascii="Gulliver" w:hAnsi="Gulliver"/>
          <w:sz w:val="20"/>
          <w:szCs w:val="20"/>
        </w:rPr>
        <w:fldChar w:fldCharType="separate"/>
      </w:r>
      <w:r w:rsidR="00304A77" w:rsidRPr="00304A77">
        <w:rPr>
          <w:rFonts w:ascii="Gulliver" w:hAnsi="Gulliver"/>
          <w:noProof/>
          <w:sz w:val="20"/>
          <w:szCs w:val="20"/>
        </w:rPr>
        <w:t>(Kapoor et al., 2024; Zhao et al., 2024)</w:t>
      </w:r>
      <w:r w:rsidR="00304A77">
        <w:rPr>
          <w:rFonts w:ascii="Gulliver" w:hAnsi="Gulliver"/>
          <w:sz w:val="20"/>
          <w:szCs w:val="20"/>
        </w:rPr>
        <w:fldChar w:fldCharType="end"/>
      </w:r>
      <w:r w:rsidRPr="00EB3855">
        <w:rPr>
          <w:rFonts w:ascii="Gulliver" w:hAnsi="Gulliver"/>
          <w:sz w:val="20"/>
          <w:szCs w:val="20"/>
        </w:rPr>
        <w:t>. This discrepancy calls for additional investigation to reconcile the two fields, one of computational power with the other of practical insights into consumer behavio</w:t>
      </w:r>
      <w:r w:rsidR="00EB3855">
        <w:rPr>
          <w:rFonts w:ascii="Gulliver" w:hAnsi="Gulliver"/>
          <w:sz w:val="20"/>
          <w:szCs w:val="20"/>
        </w:rPr>
        <w:t>u</w:t>
      </w:r>
      <w:r w:rsidRPr="00EB3855">
        <w:rPr>
          <w:rFonts w:ascii="Gulliver" w:hAnsi="Gulliver"/>
          <w:sz w:val="20"/>
          <w:szCs w:val="20"/>
        </w:rPr>
        <w:t>r.</w:t>
      </w:r>
    </w:p>
    <w:p w14:paraId="08D991D5" w14:textId="77777777" w:rsidR="00DC663C" w:rsidRDefault="00EB3855" w:rsidP="00EB3855">
      <w:pPr>
        <w:spacing w:line="271" w:lineRule="auto"/>
        <w:ind w:firstLine="284"/>
        <w:jc w:val="both"/>
        <w:rPr>
          <w:rFonts w:ascii="Gulliver" w:hAnsi="Gulliver"/>
          <w:sz w:val="20"/>
          <w:szCs w:val="20"/>
        </w:rPr>
        <w:sectPr w:rsidR="00DC663C" w:rsidSect="00DC663C">
          <w:type w:val="continuous"/>
          <w:pgSz w:w="11907" w:h="16839"/>
          <w:pgMar w:top="1701" w:right="850" w:bottom="1701" w:left="851" w:header="709" w:footer="709" w:gutter="0"/>
          <w:pgNumType w:start="227"/>
          <w:cols w:num="2" w:space="284"/>
          <w:titlePg/>
          <w:docGrid w:linePitch="299"/>
        </w:sectPr>
      </w:pPr>
      <w:r w:rsidRPr="00EB3855">
        <w:rPr>
          <w:rFonts w:ascii="Gulliver" w:hAnsi="Gulliver"/>
          <w:sz w:val="20"/>
          <w:szCs w:val="20"/>
        </w:rPr>
        <w:lastRenderedPageBreak/>
        <w:t xml:space="preserve">While there are undeniable benefits to AI and ML in marketing, there are some challenges that remain. The black-box nature of AI models makes it difficult to trust these models and to utilize them in areas where interpretability and ethics around the usage of the model are needed </w:t>
      </w:r>
      <w:r w:rsidR="00304A77">
        <w:rPr>
          <w:rFonts w:ascii="Gulliver" w:hAnsi="Gulliver"/>
          <w:sz w:val="20"/>
          <w:szCs w:val="20"/>
        </w:rPr>
        <w:fldChar w:fldCharType="begin" w:fldLock="1"/>
      </w:r>
      <w:r w:rsidR="00304A77">
        <w:rPr>
          <w:rFonts w:ascii="Gulliver" w:hAnsi="Gulliver"/>
          <w:sz w:val="20"/>
          <w:szCs w:val="20"/>
        </w:rPr>
        <w:instrText>ADDIN CSL_CITATION {"citationItems":[{"id":"ITEM-1","itemData":{"DOI":"https://doi.org/10.1016/j.compbiomed.2022.106043","ISSN":"0010-4825","abstract":"With the advent of machine learning (ML) and deep learning (DL) empowered applications for critical applications like healthcare, the questions about liability, trust, and interpretability of their outputs are raising. The black-box nature of various DL models is a roadblock to clinical utilization. Therefore, to gain the trust of clinicians and patients, we need to provide explanations about the decisions of models. With the promise of enhancing the trust and transparency of black-box models, researchers are in the phase of maturing the field of eXplainable ML (XML). In this paper, we provided a comprehensive review of explainable and interpretable ML techniques for various healthcare applications. Along with highlighting security, safety, and robustness challenges that hinder the trustworthiness of ML, we also discussed the ethical issues arising because of the use of ML/DL for healthcare. We also describe how explainable and trustworthy ML can resolve all these ethical problems. Finally, we elaborate on the limitations of existing approaches and highlight various open research problems that require further development.","author":[{"dropping-particle":"","family":"Rasheed","given":"Khansa","non-dropping-particle":"","parse-names":false,"suffix":""},{"dropping-particle":"","family":"Qayyum","given":"Adnan","non-dropping-particle":"","parse-names":false,"suffix":""},{"dropping-particle":"","family":"Ghaly","given":"Mohammed","non-dropping-particle":"","parse-names":false,"suffix":""},{"dropping-particle":"","family":"Al-Fuqaha","given":"Ala","non-dropping-particle":"","parse-names":false,"suffix":""},{"dropping-particle":"","family":"Razi","given":"Adeel","non-dropping-particle":"","parse-names":false,"suffix":""},{"dropping-particle":"","family":"Qadir","given":"Junaid","non-dropping-particle":"","parse-names":false,"suffix":""}],"container-title":"Computers in Biology and Medicine","id":"ITEM-1","issued":{"date-parts":[["2022"]]},"page":"106043","title":"Explainable, trustworthy, and ethical machine learning for healthcare: A survey","type":"article-journal","volume":"149"},"uris":["http://www.mendeley.com/documents/?uuid=eb4b0703-75db-437d-8f12-c3f9122471b6"]},{"id":"ITEM-2","itemData":{"DOI":"https://doi.org/10.1016/j.artmed.2021.102158","ISSN":"0933-3657","abstract":"Our title alludes to the three Christmas ghosts encountered by Ebenezer Scrooge in A Christmas Carol, who guide Ebenezer through the past, present, and future of Christmas holiday events. Similarly, our article takes readers through a journey of the past, present, and future of medical AI. In doing so, we focus on the crux of modern machine learning: the reliance on powerful but intrinsically opaque models. When applied to the healthcare domain, these models fail to meet the needs for transparency that their clinician and patient end-users require. We review the implications of this failure, and argue that opaque models (1) lack quality assurance, (2) fail to elicit trust, and (3) restrict physician-patient dialogue. We then discuss how upholding transparency in all aspects of model design and model validation can help ensure the reliability and success of medical AI.","author":[{"dropping-particle":"","family":"Quinn","given":"Thomas P","non-dropping-particle":"","parse-names":false,"suffix":""},{"dropping-particle":"","family":"Jacobs","given":"Stephan","non-dropping-particle":"","parse-names":false,"suffix":""},{"dropping-particle":"","family":"Senadeera","given":"Manisha","non-dropping-particle":"","parse-names":false,"suffix":""},{"dropping-particle":"","family":"Le","given":"Vuong","non-dropping-particle":"","parse-names":false,"suffix":""},{"dropping-particle":"","family":"Coghlan","given":"Simon","non-dropping-particle":"","parse-names":false,"suffix":""}],"container-title":"Artificial Intelligence in Medicine","id":"ITEM-2","issued":{"date-parts":[["2022"]]},"page":"102158","title":"The three ghosts of medical AI: Can the black-box present deliver?","type":"article-journal","volume":"124"},"uris":["http://www.mendeley.com/documents/?uuid=56d34d53-ee91-4cad-8da0-b52deae4b95f"]},{"id":"ITEM-3","itemData":{"DOI":"https://doi.org/10.1016/j.neucom.2020.08.011","ISSN":"0925-2312","abstract":"Recently, a significant amount of research has been investigated on interpretation of deep neural networks (DNNs) which are normally processed as black box models. Among the methods that have been developed, local interpretation methods stand out which have the features of clear expression in interpretation and low computation complexity. Different from existing surveys which cover a broad range of methods on interpretation of DNNs, this survey focuses on local interpretation methods with an in-depth analysis of the representative works including the newly proposed approaches. From the perspective of principles, we first divide local interpretation methods into two main categories: model-driven methods and data-driven methods. Then we make a fine-grained distinction between the two types of these methods, and highlight the latest ideas and principles. We further demonstrate the effects of a number of interpretation methods by reproducing the results through open source software plugins. Finally, we point out research directions in this rapidly evolving field.","author":[{"dropping-particle":"","family":"Liang","given":"Yu","non-dropping-particle":"","parse-names":false,"suffix":""},{"dropping-particle":"","family":"Li","given":"Siguang","non-dropping-particle":"","parse-names":false,"suffix":""},{"dropping-particle":"","family":"Yan","given":"Chungang","non-dropping-particle":"","parse-names":false,"suffix":""},{"dropping-particle":"","family":"Li","given":"Maozhen","non-dropping-particle":"","parse-names":false,"suffix":""},{"dropping-particle":"","family":"Jiang","given":"Changjun","non-dropping-particle":"","parse-names":false,"suffix":""}],"container-title":"Neurocomputing","id":"ITEM-3","issued":{"date-parts":[["2021"]]},"page":"168-182","title":"Explaining the black-box model: A survey of local interpretation methods for deep neural networks","type":"article-journal","volume":"419"},"uris":["http://www.mendeley.com/documents/?uuid=fa1d9483-c91a-4c99-89e7-17a5a5cb7b15"]}],"mendeley":{"formattedCitation":"(Liang et al., 2021; Quinn et al., 2022; Rasheed et al., 2022)","plainTextFormattedCitation":"(Liang et al., 2021; Quinn et al., 2022; Rasheed et al., 2022)","previouslyFormattedCitation":"(Liang et al., 2021; Quinn et al., 2022; Rasheed et al., 2022)"},"properties":{"noteIndex":0},"schema":"https://github.com/citation-style-language/schema/raw/master/csl-citation.json"}</w:instrText>
      </w:r>
      <w:r w:rsidR="00304A77">
        <w:rPr>
          <w:rFonts w:ascii="Gulliver" w:hAnsi="Gulliver"/>
          <w:sz w:val="20"/>
          <w:szCs w:val="20"/>
        </w:rPr>
        <w:fldChar w:fldCharType="separate"/>
      </w:r>
      <w:r w:rsidR="00304A77" w:rsidRPr="00304A77">
        <w:rPr>
          <w:rFonts w:ascii="Gulliver" w:hAnsi="Gulliver"/>
          <w:noProof/>
          <w:sz w:val="20"/>
          <w:szCs w:val="20"/>
        </w:rPr>
        <w:t>(Liang et al., 2021; Quinn et al., 2022; Rasheed et al., 2022)</w:t>
      </w:r>
      <w:r w:rsidR="00304A77">
        <w:rPr>
          <w:rFonts w:ascii="Gulliver" w:hAnsi="Gulliver"/>
          <w:sz w:val="20"/>
          <w:szCs w:val="20"/>
        </w:rPr>
        <w:fldChar w:fldCharType="end"/>
      </w:r>
      <w:r w:rsidRPr="00EB3855">
        <w:rPr>
          <w:rFonts w:ascii="Gulliver" w:hAnsi="Gulliver"/>
          <w:sz w:val="20"/>
          <w:szCs w:val="20"/>
        </w:rPr>
        <w:t xml:space="preserve">. According to </w:t>
      </w:r>
      <w:r w:rsidR="00304A77">
        <w:rPr>
          <w:rFonts w:ascii="Gulliver" w:hAnsi="Gulliver"/>
          <w:sz w:val="20"/>
          <w:szCs w:val="20"/>
        </w:rPr>
        <w:fldChar w:fldCharType="begin" w:fldLock="1"/>
      </w:r>
      <w:r w:rsidR="00304A77">
        <w:rPr>
          <w:rFonts w:ascii="Gulliver" w:hAnsi="Gulliver"/>
          <w:sz w:val="20"/>
          <w:szCs w:val="20"/>
        </w:rPr>
        <w:instrText>ADDIN CSL_CITATION {"citationItems":[{"id":"ITEM-1","itemData":{"DOI":"https://doi.org/10.1016/j.chbr.2022.100245","ISSN":"2451-9588","abstract":"The use of algorithms systems that manage employees is now common in many industries. Trucking is no exception since freight companies need sophisticated systems to comply with legal obligations regarding driving time limitations. However, these systems often go far beyond simple GPS tracking, with other advanced surveillance devices being linked to performance management of truck drivers. Despite the growing literature emphasizing how the opacity of these systems may lead to perceived unjust automated decisions, no studies has empirically examined the relationships between algorithmic management transparency on truck driver attitudes. Hence, this study aims to quantitatively investigate the effect of the transparency of two algorithmic management functions (i.e., surveillance and performance management) on distributive and procedural justice. Moreover, considering that this industry faces an extraordinarily high turnover rate, the indirect relationship between algorithmic management transparency and driver's intention to quit through the mediating role of perceived justice will also be examined. Data were collected from 110 respondents via online communities of truck drivers. The results show that the transparency of algorithmic surveillance is positively related to procedural justice whereas the transparency of algorithmic performance management is positively related to distributive justice. Furthermore, our results show that procedural justice mediates the negative relationship between the transparency of algorithmic surveillance and intention to quit and that distributive justice mediates the negative relationship between the transparency of algorithmic performance management and intention to quit. Implications for theory and practice are discussed.","author":[{"dropping-particle":"","family":"Bujold","given":"Antoine","non-dropping-particle":"","parse-names":false,"suffix":""},{"dropping-particle":"","family":"Parent-Rocheleau","given":"Xavier","non-dropping-particle":"","parse-names":false,"suffix":""},{"dropping-particle":"","family":"Gaudet","given":"Marie-Claude","non-dropping-particle":"","parse-names":false,"suffix":""}],"container-title":"Computers in Human Behavior Reports","id":"ITEM-1","issued":{"date-parts":[["2022"]]},"page":"100245","title":"Opacity behind the wheel: The relationship between transparency of algorithmic management, justice perception, and intention to quit among truck drivers","type":"article-journal","volume":"8"},"uris":["http://www.mendeley.com/documents/?uuid=b2aa2760-dd71-4927-b4b6-f774a629c138"]},{"id":"ITEM-2","itemData":{"DOI":"https://doi.org/10.1016/j.eswa.2023.122442","ISSN":"0957-4174","abstract":"Artificial Intelligence (AI) has become pervasive, enabling transformative advancements in various industries including smart city, smart healthcare, smart manufacturing, smart virtual world and the Metaverse. However, concerns related to risk, trust, and security are emerging with the increasing reliance on AI systems. One of the most beneficial and original solutions for ensuring the reliability and trustworthiness of AI systems is AI Trust, Risk and Security Management (AI TRiSM) framework. Despite being comparatively new to the market, the framework has demonstrated already its effectiveness in various products and AI models. It has successfully contributed to fostering innovation, building trust, and creating value for businesses and society. Due to the lack of systematic investigations in AI TRiSM, we carried out a comprehensive and detailed review to bridge the existing knowledge gaps and provide a better understanding of the framework from both theoretical and technical standpoints. This paper explores various applications of the AI TRiSM framework across different domains, including finance, healthcare, and the Metaverse. Futhermore, the paper discusses the obstacles related to implementing AI TRiSM framework, including adversarial attacks, the constantly changing landscape of threats, ensuring regulatory compliance, addressing skill gaps, and acquiring expertise in the field. Finally, it explores the future directions of AI TRiSM, emphasizing the importance of continual adaptation and collaboration among stakeholders to address emerging risks and promote ethical and enhanced overall security bearing for AI systems.","author":[{"dropping-particle":"","family":"Habbal","given":"Adib","non-dropping-particle":"","parse-names":false,"suffix":""},{"dropping-particle":"","family":"Ali","given":"Mohamed Khalif","non-dropping-particle":"","parse-names":false,"suffix":""},{"dropping-particle":"","family":"Abuzaraida","given":"Mustafa Ali","non-dropping-particle":"","parse-names":false,"suffix":""}],"container-title":"Expert Systems with Applications","id":"ITEM-2","issued":{"date-parts":[["2024"]]},"page":"122442","title":"Artificial Intelligence Trust, Risk and Security Management (AI TRiSM): Frameworks, applications, challenges and future research directions","type":"article-journal","volume":"240"},"uris":["http://www.mendeley.com/documents/?uuid=ed402b30-f6b5-46b7-93ba-9cfe75f85df5"]}],"mendeley":{"formattedCitation":"(Bujold et al., 2022; Habbal et al., 2024)","manualFormatting":"Bujold et al. (2022), Habbal et al. (2024)","plainTextFormattedCitation":"(Bujold et al., 2022; Habbal et al., 2024)","previouslyFormattedCitation":"(Bujold et al., 2022; Habbal et al., 2024)"},"properties":{"noteIndex":0},"schema":"https://github.com/citation-style-language/schema/raw/master/csl-citation.json"}</w:instrText>
      </w:r>
      <w:r w:rsidR="00304A77">
        <w:rPr>
          <w:rFonts w:ascii="Gulliver" w:hAnsi="Gulliver"/>
          <w:sz w:val="20"/>
          <w:szCs w:val="20"/>
        </w:rPr>
        <w:fldChar w:fldCharType="separate"/>
      </w:r>
      <w:r w:rsidR="00304A77" w:rsidRPr="00304A77">
        <w:rPr>
          <w:rFonts w:ascii="Gulliver" w:hAnsi="Gulliver"/>
          <w:noProof/>
          <w:sz w:val="20"/>
          <w:szCs w:val="20"/>
        </w:rPr>
        <w:t xml:space="preserve">Bujold et al. </w:t>
      </w:r>
      <w:r w:rsidR="00304A77">
        <w:rPr>
          <w:rFonts w:ascii="Gulliver" w:hAnsi="Gulliver"/>
          <w:noProof/>
          <w:sz w:val="20"/>
          <w:szCs w:val="20"/>
        </w:rPr>
        <w:t>(</w:t>
      </w:r>
      <w:r w:rsidR="00304A77" w:rsidRPr="00304A77">
        <w:rPr>
          <w:rFonts w:ascii="Gulliver" w:hAnsi="Gulliver"/>
          <w:noProof/>
          <w:sz w:val="20"/>
          <w:szCs w:val="20"/>
        </w:rPr>
        <w:t>2022</w:t>
      </w:r>
      <w:r w:rsidR="00304A77">
        <w:rPr>
          <w:rFonts w:ascii="Gulliver" w:hAnsi="Gulliver"/>
          <w:noProof/>
          <w:sz w:val="20"/>
          <w:szCs w:val="20"/>
        </w:rPr>
        <w:t xml:space="preserve">), </w:t>
      </w:r>
      <w:r w:rsidR="00304A77" w:rsidRPr="00304A77">
        <w:rPr>
          <w:rFonts w:ascii="Gulliver" w:hAnsi="Gulliver"/>
          <w:noProof/>
          <w:sz w:val="20"/>
          <w:szCs w:val="20"/>
        </w:rPr>
        <w:t xml:space="preserve">Habbal et al. </w:t>
      </w:r>
      <w:r w:rsidR="00304A77">
        <w:rPr>
          <w:rFonts w:ascii="Gulliver" w:hAnsi="Gulliver"/>
          <w:noProof/>
          <w:sz w:val="20"/>
          <w:szCs w:val="20"/>
        </w:rPr>
        <w:t>(</w:t>
      </w:r>
      <w:r w:rsidR="00304A77" w:rsidRPr="00304A77">
        <w:rPr>
          <w:rFonts w:ascii="Gulliver" w:hAnsi="Gulliver"/>
          <w:noProof/>
          <w:sz w:val="20"/>
          <w:szCs w:val="20"/>
        </w:rPr>
        <w:t>2024)</w:t>
      </w:r>
      <w:r w:rsidR="00304A77">
        <w:rPr>
          <w:rFonts w:ascii="Gulliver" w:hAnsi="Gulliver"/>
          <w:sz w:val="20"/>
          <w:szCs w:val="20"/>
        </w:rPr>
        <w:fldChar w:fldCharType="end"/>
      </w:r>
      <w:r w:rsidRPr="00EB3855">
        <w:rPr>
          <w:rFonts w:ascii="Gulliver" w:hAnsi="Gulliver"/>
          <w:sz w:val="20"/>
          <w:szCs w:val="20"/>
        </w:rPr>
        <w:t xml:space="preserve">, this opacity can erode trust between stakeholders, especially when subjected to public-facing predictive tasks. Moreover, the trends involving the growing dependence on unstructured data are clearly showing signs of challenges to guarantee the quality of information used and reduce biases in predictions </w:t>
      </w:r>
      <w:r w:rsidR="00304A77">
        <w:rPr>
          <w:rFonts w:ascii="Gulliver" w:hAnsi="Gulliver"/>
          <w:sz w:val="20"/>
          <w:szCs w:val="20"/>
        </w:rPr>
        <w:fldChar w:fldCharType="begin" w:fldLock="1"/>
      </w:r>
      <w:r w:rsidR="00304A77">
        <w:rPr>
          <w:rFonts w:ascii="Gulliver" w:hAnsi="Gulliver"/>
          <w:sz w:val="20"/>
          <w:szCs w:val="20"/>
        </w:rPr>
        <w:instrText xml:space="preserve">ADDIN CSL_CITATION {"citationItems":[{"id":"ITEM-1","itemData":{"DOI":"https://doi.org/10.1016/j.inffus.2018.10.005","ISSN":"1566-2535","abstract":"The so-called </w:instrText>
      </w:r>
      <w:r w:rsidR="00304A77">
        <w:rPr>
          <w:rFonts w:ascii="Gulliver" w:hAnsi="Gulliver" w:hint="eastAsia"/>
          <w:sz w:val="20"/>
          <w:szCs w:val="20"/>
        </w:rPr>
        <w:instrText>“</w:instrText>
      </w:r>
      <w:r w:rsidR="00304A77">
        <w:rPr>
          <w:rFonts w:ascii="Gulliver" w:hAnsi="Gulliver"/>
          <w:sz w:val="20"/>
          <w:szCs w:val="20"/>
        </w:rPr>
        <w:instrText>smartization</w:instrText>
      </w:r>
      <w:r w:rsidR="00304A77">
        <w:rPr>
          <w:rFonts w:ascii="Gulliver" w:hAnsi="Gulliver" w:hint="eastAsia"/>
          <w:sz w:val="20"/>
          <w:szCs w:val="20"/>
        </w:rPr>
        <w:instrText>”</w:instrText>
      </w:r>
      <w:r w:rsidR="00304A77">
        <w:rPr>
          <w:rFonts w:ascii="Gulliver" w:hAnsi="Gulliver"/>
          <w:sz w:val="20"/>
          <w:szCs w:val="20"/>
        </w:rPr>
        <w:instrText xml:space="preserve"> of manufacturing industries has been conceived as the fourth industrial revolution or Industry 4.0, a paradigm shift propelled by the upsurge and progressive maturity of new Information and Communication Technologies (ICT) applied to industrial processes and products. From a data science perspective, this paradigm shift allows extracting relevant knowledge from monitored assets through the adoption of intelligent monitoring and data fusion strategies, as well as by the application of machine learning and optimization methods. One of the main goals of data science in this context is to effectively predict abnormal behaviors in industrial machinery, tools and processes so as to anticipate critical events and damage, eventually causing important economical losses and safety issues. In this context, data-driven prognosis is gradually gaining attention in different industrial sectors. This paper provides a comprehensive survey of the recent developments in data fusion and machine learning for industrial prognosis, placing an emphasis on the identification of research trends, niches of opportunity and unexplored challenges. To this end, a principled categorization of the utilized feature extraction techniques and machine learning methods will be provided on the basis of its intended purpose: analyze what caused the failure (descriptive), determine when the monitored asset will fail (predictive) or decide what to do so as to minimize its impact on the industry at hand (prescriptive). This threefold analysis, along with a discussion on its hardware and software implications, intends to serve as a stepping stone for future researchers and practitioners to join the community investigating on this vibrant field.","author":[{"dropping-particle":"","family":"Diez-Olivan","given":"Alberto","non-dropping-particle":"","parse-names":false,"suffix":""},{"dropping-particle":"","family":"Ser","given":"Javier","non-dropping-particle":"Del","parse-names":false,"suffix":""},{"dropping-particle":"","family":"Galar","given":"Diego","non-dropping-particle":"","parse-names":false,"suffix":""},{"dropping-particle":"","family":"Sierra","given":"Basilio","non-dropping-particle":"","parse-names":false,"suffix":""}],"container-title":"Information Fusion","id":"ITEM-1","issued":{"date-parts":[["2019"]]},"page":"92-111","title":"Data fusion and machine learning for industrial prognosis: Trends and perspectives towards Industry 4.0","type":"article-journal","volume":"50"},"uris":["http://www.mendeley.com/documents/?uuid=e78f2835-f3e9-4c15-a68a-df8811d1c27a"]},{"id":"ITEM-2","itemData":{"DOI":"https://doi.org/10.1016/j.aei.2016.07.001","ISSN":"1474-0346","abstract":"The ability to process large amounts of data and to extract useful insights from data has revolutionised society. This phenomenon</w:instrText>
      </w:r>
      <w:r w:rsidR="00304A77">
        <w:rPr>
          <w:rFonts w:ascii="Gulliver" w:hAnsi="Gulliver" w:hint="eastAsia"/>
          <w:sz w:val="20"/>
          <w:szCs w:val="20"/>
        </w:rPr>
        <w:instrText>—</w:instrText>
      </w:r>
      <w:r w:rsidR="00304A77">
        <w:rPr>
          <w:rFonts w:ascii="Gulliver" w:hAnsi="Gulliver"/>
          <w:sz w:val="20"/>
          <w:szCs w:val="20"/>
        </w:rPr>
        <w:instrText>dubbed as Big Data</w:instrText>
      </w:r>
      <w:r w:rsidR="00304A77">
        <w:rPr>
          <w:rFonts w:ascii="Gulliver" w:hAnsi="Gulliver" w:hint="eastAsia"/>
          <w:sz w:val="20"/>
          <w:szCs w:val="20"/>
        </w:rPr>
        <w:instrText>—</w:instrText>
      </w:r>
      <w:r w:rsidR="00304A77">
        <w:rPr>
          <w:rFonts w:ascii="Gulliver" w:hAnsi="Gulliver"/>
          <w:sz w:val="20"/>
          <w:szCs w:val="20"/>
        </w:rPr>
        <w:instrText>has applications for a wide assortment of industries, including the construction industry. The construction industry already deals with large volumes of heterogeneous data; which is expected to increase exponentially as technologies such as sensor networks and the Internet of Things are commoditised. In this paper, we present a detailed survey of the literature, investigating the application of Big Data techniques in the construction industry. We reviewed related works published in the databases of American Association of Civil Engineers (ASCE), Institute of Electrical and Electronics Engineers (IEEE), Association of Computing Machinery (ACM), and Elsevier Science Direct Digital Library. While the application of data analytics in the construction industry is not new, the adoption of Big Data technologies in this industry remains at a nascent stage and lags the broad uptake of these technologies in other fields. To the best of our knowledge, there is currently no comprehensive survey of Big Data techniques in the context of the construction industry. This paper fills the void and presents a wide-ranging interdisciplinary review of literature of fields such as statistics, data mining and warehousing, machine learning, and Big Data Analytics in the context of the construction industry. We discuss the current state of adoption of Big Data in the construction industry and discuss the future potential of such technologies across the multiple domain-specific sub-areas of the construction industry. We also propose open issues and directions for future work along with potential pitfalls associated with Big Data adoption in the industry.","author":[{"dropping-particle":"","family":"Bilal","given":"Muhammad","non-dropping-particle":"","parse-names":false,"suffix":""},{"dropping-particle":"","family":"Oyedele","given":"Lukumon O","non-dropping-particle":"","parse-names":false,"suffix":""},{"dropping-particle":"","family":"Qadir","given":"Junaid","non-dropping-particle":"","parse-names":false,"suffix":""},{"dropping-particle":"","family":"Munir","given":"Kamran","non-dropping-particle":"","parse-names":false,"suffix":""},{"dropping-particle":"","family":"Ajayi","given":"Saheed O","non-dropping-particle":"","parse-names":false,"suffix":""},{"dropping-particle":"","family":"Akinade","given":"Olugbenga O","non-dropping-particle":"","parse-names":false,"suffix":""},{"dropping-particle":"","family":"Owolabi","given":"Hakeem A","non-dropping-particle":"","parse-names":false,"suffix":""},{"dropping-particle":"","family":"Alaka","given":"Hafiz A","non-dropping-particle":"","parse-names":false,"suffix":""},{"dropping-particle":"","family":"Pasha","given":"Maruf","non-dropping-particle":"","parse-names":false,"suffix":""}],"container-title":"Advanced Engineering Informatics","id":"ITEM-2","issue":"3","issued":{"date-parts":[["2016"]]},"page":"500-521","title":"Big Data in the construction industry: A review of present status, opportunities, and future trends","type":"article-journal","volume":"30"},"uris":["http://www.mendeley.com/documents/?uuid=958a075c-6f2e-4e60-b4ab-98949596076b"]}],"mendeley":{"formattedCitation":"(Bilal et al., 2016; Diez-Olivan et al., 2019)","plainTextFormattedCitation":"(Bilal et al., 2016; Diez-Olivan et al., 2019)","previouslyFormattedCitation":"(Bilal et al., 2016; Diez-Olivan et al., 2019)"},"properties":{"noteIndex":0},"schema":"https://github.com/citation-style-language/schema/raw/master/csl-citation.json"}</w:instrText>
      </w:r>
      <w:r w:rsidR="00304A77">
        <w:rPr>
          <w:rFonts w:ascii="Gulliver" w:hAnsi="Gulliver"/>
          <w:sz w:val="20"/>
          <w:szCs w:val="20"/>
        </w:rPr>
        <w:fldChar w:fldCharType="separate"/>
      </w:r>
      <w:r w:rsidR="00304A77" w:rsidRPr="00304A77">
        <w:rPr>
          <w:rFonts w:ascii="Gulliver" w:hAnsi="Gulliver"/>
          <w:noProof/>
          <w:sz w:val="20"/>
          <w:szCs w:val="20"/>
        </w:rPr>
        <w:t>(Bilal et al., 2016; Diez-Olivan et al., 2019)</w:t>
      </w:r>
      <w:r w:rsidR="00304A77">
        <w:rPr>
          <w:rFonts w:ascii="Gulliver" w:hAnsi="Gulliver"/>
          <w:sz w:val="20"/>
          <w:szCs w:val="20"/>
        </w:rPr>
        <w:fldChar w:fldCharType="end"/>
      </w:r>
      <w:r w:rsidRPr="00EB3855">
        <w:rPr>
          <w:rFonts w:ascii="Gulliver" w:hAnsi="Gulliver"/>
          <w:sz w:val="20"/>
          <w:szCs w:val="20"/>
        </w:rPr>
        <w:t>.</w:t>
      </w:r>
    </w:p>
    <w:p w14:paraId="400ED534" w14:textId="23FBAAF0" w:rsidR="003576CC" w:rsidRDefault="003576CC" w:rsidP="00EB3855">
      <w:pPr>
        <w:spacing w:line="271" w:lineRule="auto"/>
        <w:ind w:firstLine="284"/>
        <w:jc w:val="both"/>
        <w:rPr>
          <w:rFonts w:ascii="Gulliver" w:hAnsi="Gulliver"/>
        </w:rPr>
      </w:pPr>
    </w:p>
    <w:p w14:paraId="2D5977ED" w14:textId="343135D5" w:rsidR="003576CC" w:rsidRDefault="003576CC" w:rsidP="003576CC">
      <w:pPr>
        <w:spacing w:after="0" w:line="271" w:lineRule="auto"/>
        <w:jc w:val="both"/>
        <w:rPr>
          <w:rFonts w:ascii="Gulliver" w:hAnsi="Gulliver"/>
        </w:rPr>
      </w:pPr>
      <w:r>
        <w:rPr>
          <w:noProof/>
        </w:rPr>
        <w:drawing>
          <wp:inline distT="0" distB="0" distL="0" distR="0" wp14:anchorId="0E31A8A0" wp14:editId="7DEF027D">
            <wp:extent cx="6422745" cy="3079699"/>
            <wp:effectExtent l="0" t="0" r="16510" b="6985"/>
            <wp:docPr id="4" name="Chart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EEB08EA" w14:textId="3F561392" w:rsidR="003576CC" w:rsidRDefault="003576CC" w:rsidP="003576CC">
      <w:pPr>
        <w:spacing w:after="0" w:line="271" w:lineRule="auto"/>
        <w:jc w:val="both"/>
        <w:rPr>
          <w:rFonts w:ascii="Gulliver" w:hAnsi="Gulliver"/>
        </w:rPr>
      </w:pPr>
    </w:p>
    <w:p w14:paraId="6439A95E" w14:textId="17EDA067" w:rsidR="003576CC" w:rsidRPr="00F3125F" w:rsidRDefault="003576CC" w:rsidP="003576CC">
      <w:pPr>
        <w:spacing w:after="100" w:afterAutospacing="1" w:line="271" w:lineRule="auto"/>
        <w:jc w:val="center"/>
        <w:rPr>
          <w:rFonts w:ascii="Gulliver" w:hAnsi="Gulliver"/>
          <w:sz w:val="20"/>
          <w:szCs w:val="20"/>
        </w:rPr>
      </w:pPr>
      <w:r w:rsidRPr="00F3125F">
        <w:rPr>
          <w:rFonts w:ascii="Gulliver" w:hAnsi="Gulliver"/>
          <w:b/>
          <w:bCs/>
          <w:sz w:val="20"/>
          <w:szCs w:val="20"/>
        </w:rPr>
        <w:t>Figure 1.</w:t>
      </w:r>
      <w:r w:rsidRPr="00F3125F">
        <w:rPr>
          <w:rFonts w:ascii="Gulliver" w:hAnsi="Gulliver"/>
          <w:sz w:val="20"/>
          <w:szCs w:val="20"/>
        </w:rPr>
        <w:t xml:space="preserve"> Phenome AI Data</w:t>
      </w:r>
      <w:r w:rsidR="00EB3855">
        <w:rPr>
          <w:rFonts w:ascii="Gulliver" w:hAnsi="Gulliver"/>
          <w:sz w:val="20"/>
          <w:szCs w:val="20"/>
        </w:rPr>
        <w:t xml:space="preserve"> 24</w:t>
      </w:r>
    </w:p>
    <w:p w14:paraId="61D7048C" w14:textId="77777777" w:rsidR="00DC663C" w:rsidRDefault="00DC663C" w:rsidP="00FF0C2D">
      <w:pPr>
        <w:spacing w:after="0" w:line="271" w:lineRule="auto"/>
        <w:ind w:firstLine="284"/>
        <w:jc w:val="both"/>
        <w:rPr>
          <w:rFonts w:ascii="Gulliver" w:hAnsi="Gulliver"/>
          <w:sz w:val="20"/>
          <w:szCs w:val="20"/>
        </w:rPr>
        <w:sectPr w:rsidR="00DC663C" w:rsidSect="00DC663C">
          <w:type w:val="continuous"/>
          <w:pgSz w:w="11907" w:h="16839"/>
          <w:pgMar w:top="1701" w:right="850" w:bottom="1701" w:left="851" w:header="709" w:footer="709" w:gutter="0"/>
          <w:pgNumType w:start="227"/>
          <w:cols w:space="708"/>
          <w:titlePg/>
          <w:docGrid w:linePitch="299"/>
        </w:sectPr>
      </w:pPr>
    </w:p>
    <w:p w14:paraId="24875B11" w14:textId="5678580E" w:rsidR="00EC126C" w:rsidRPr="00EB3855" w:rsidRDefault="00EC126C" w:rsidP="00FF0C2D">
      <w:pPr>
        <w:spacing w:after="0" w:line="271" w:lineRule="auto"/>
        <w:ind w:firstLine="284"/>
        <w:jc w:val="both"/>
        <w:rPr>
          <w:rFonts w:ascii="Gulliver" w:hAnsi="Gulliver"/>
          <w:sz w:val="20"/>
          <w:szCs w:val="20"/>
        </w:rPr>
      </w:pPr>
      <w:r w:rsidRPr="00EB3855">
        <w:rPr>
          <w:rFonts w:ascii="Gulliver" w:hAnsi="Gulliver"/>
          <w:sz w:val="20"/>
          <w:szCs w:val="20"/>
        </w:rPr>
        <w:t xml:space="preserve">The focus on ethical AI considerations has also been compounded by privacy concerns and regulations such as the General Data Protection Regulation (GDPR) and California Consumer Privacy Act (CCPA) </w:t>
      </w:r>
      <w:r w:rsidR="00835D5E">
        <w:rPr>
          <w:rFonts w:ascii="Gulliver" w:hAnsi="Gulliver"/>
          <w:sz w:val="20"/>
          <w:szCs w:val="20"/>
        </w:rPr>
        <w:fldChar w:fldCharType="begin" w:fldLock="1"/>
      </w:r>
      <w:r w:rsidR="00835D5E">
        <w:rPr>
          <w:rFonts w:ascii="Gulliver" w:hAnsi="Gulliver"/>
          <w:sz w:val="20"/>
          <w:szCs w:val="20"/>
        </w:rPr>
        <w:instrText xml:space="preserve">ADDIN CSL_CITATION {"citationItems":[{"id":"ITEM-1","itemData":{"DOI":"https://doi.org/10.1016/j.ijinfomgt.2024.102753","ISSN":"0268-4012","abstract":"As the application of Blockchain Technology (BCT) grows across several industries, its inherent decentralized and immutable nature raises some conflicting issues concerning privacy regulation. The enforcement of privacy regulations like the General Data Protection Regulation (GDPR) exemplifies these challenges, as certain stringent privacy requirements within GDPR may conflict with BCT's features. However, little attention is given to such critical issues. This study draws on the Technology-Organization-Environment (TOE) theoretical lens as a mechanism to unfold the issue. The current research focuses on exploring the tensions and the opportunities for synergy through the lens of TOE to prevent privacy regulatory compliance failure. We analyzed 71 multidisciplinary research studies that highlight the areas of friction and present a unifying structure for research synthesis. In response to the identified areas of friction and potential opportunities for coexistence, we formulate nine research propositions centered around six prominent and contentious data privacy and protection requirements within the GDPR. This research contributes to the broader discourse on privacy regulatory-compliant blockchain-based solutions by providing a theoretical foundation for future investigation into this critical area. The study suggests that reconciling BCT and privacy regulation requirements will unlock BCT's full potential, creating a secure, privacy-conscious technology infrastructure and offering practical implications and insights for policymakers.","author":[{"dropping-particle":"","family":"Akanfe","given":"Oluwafemi","non-dropping-particle":"","parse-names":false,"suffix":""},{"dropping-particle":"","family":"Lawong","given":"Diane","non-dropping-particle":"","parse-names":false,"suffix":""},{"dropping-particle":"","family":"Rao","given":"H Raghav","non-dropping-particle":"","parse-names":false,"suffix":""}],"container-title":"International Journal of Information Management","id":"ITEM-1","issued":{"date-parts":[["2024"]]},"page":"102753","title":"Blockchain technology and privacy regulation: Reviewing frictions and synthesizing opportunities","type":"article-journal","volume":"76"},"uris":["http://www.mendeley.com/documents/?uuid=495ee21b-91b8-4a50-9a23-5663e2e6adb3"]},{"id":"ITEM-2","itemData":{"DOI":"https://doi.org/10.1016/B978-0-44-319037-7.00030-2","ISBN":"978-0-443-19037-7","abstract":"Speech signal contains rich information encompassing gender, accent, speaking environment, and other speaker characteristics. Meanwhile, deploying high-performance speech applications often requires a large amount of training speech data, which are often collected from end-users. Therefore, protecting data privacy becomes a rising concern when speech data are employed to deploy commercial speech applications. That motivates the rising interest in designing </w:instrText>
      </w:r>
      <w:r w:rsidR="00835D5E">
        <w:rPr>
          <w:rFonts w:ascii="Gulliver" w:hAnsi="Gulliver" w:hint="eastAsia"/>
          <w:sz w:val="20"/>
          <w:szCs w:val="20"/>
        </w:rPr>
        <w:instrText>“</w:instrText>
      </w:r>
      <w:r w:rsidR="00835D5E">
        <w:rPr>
          <w:rFonts w:ascii="Gulliver" w:hAnsi="Gulliver"/>
          <w:sz w:val="20"/>
          <w:szCs w:val="20"/>
        </w:rPr>
        <w:instrText>federated learning</w:instrText>
      </w:r>
      <w:r w:rsidR="00835D5E">
        <w:rPr>
          <w:rFonts w:ascii="Gulliver" w:hAnsi="Gulliver" w:hint="eastAsia"/>
          <w:sz w:val="20"/>
          <w:szCs w:val="20"/>
        </w:rPr>
        <w:instrText>”</w:instrText>
      </w:r>
      <w:r w:rsidR="00835D5E">
        <w:rPr>
          <w:rFonts w:ascii="Gulliver" w:hAnsi="Gulliver"/>
          <w:sz w:val="20"/>
          <w:szCs w:val="20"/>
        </w:rPr>
        <w:instrText xml:space="preserve"> for voice assistants and mobile applications. This chapter will introduce recent advances in federated learning foundation algorithms and applications for speech recognition, and general acoustic processing. Furthermore, it will introduce how federated learning-based speech processing techniques (e.g., average gradient and teacher</w:instrText>
      </w:r>
      <w:r w:rsidR="00835D5E">
        <w:rPr>
          <w:rFonts w:ascii="Gulliver" w:hAnsi="Gulliver" w:hint="eastAsia"/>
          <w:sz w:val="20"/>
          <w:szCs w:val="20"/>
        </w:rPr>
        <w:instrText>–</w:instrText>
      </w:r>
      <w:r w:rsidR="00835D5E">
        <w:rPr>
          <w:rFonts w:ascii="Gulliver" w:hAnsi="Gulliver"/>
          <w:sz w:val="20"/>
          <w:szCs w:val="20"/>
        </w:rPr>
        <w:instrText>student learning) would connect to some critical data protection guidelines and public regulations, such as European Union's General Data Protection Regulation (GDPR) and California Consumer Privacy Act (CCPA).","author":[{"dropping-particle":"","family":"Yang","given":"Chao-Han Huck","non-dropping-particle":"","parse-names":false,"suffix":""},{"dropping-particle":"","family":"Siniscalchi","given":"Sabato Marco","non-dropping-particle":"","parse-names":false,"suffix":""}],"editor":[{"dropping-particle":"","family":"Nguyen","given":"Lam M","non-dropping-particle":"","parse-names":false,"suffix":""},{"dropping-particle":"","family":"Hoang","given":"Trong Nghia","non-dropping-particle":"","parse-names":false,"suffix":""},{"dropping-particle":"","family":"Chen","given":"Pin-Yu B T - Federated Learning","non-dropping-particle":"","parse-names":false,"suffix":""}],"id":"ITEM-2","issued":{"date-parts":[["2024"]]},"page":"353-368","publisher":"Academic Press","title":"Chapter 20 - Federated learning for privacy-preserving speech recognition","type":"chapter"},"uris":["http://www.mendeley.com/documents/?uuid=e7172c58-d117-48ee-b270-24ebf19a9101"]},{"id":"ITEM-3","itemData":{"DOI":"https://doi.org/10.1016/j.compcom.2021.102652","ISSN":"8755-4615","abstract":"Models of privacy in digital spaces place the responsibility on individuals to protect their data and prevent harm from breaches. As I demonstrate in this article, the massive collection of individuals</w:instrText>
      </w:r>
      <w:r w:rsidR="00835D5E">
        <w:rPr>
          <w:rFonts w:ascii="Gulliver" w:hAnsi="Gulliver" w:hint="eastAsia"/>
          <w:sz w:val="20"/>
          <w:szCs w:val="20"/>
        </w:rPr>
        <w:instrText>’</w:instrText>
      </w:r>
      <w:r w:rsidR="00835D5E">
        <w:rPr>
          <w:rFonts w:ascii="Gulliver" w:hAnsi="Gulliver"/>
          <w:sz w:val="20"/>
          <w:szCs w:val="20"/>
        </w:rPr>
        <w:instrText xml:space="preserve"> data online, an inherent feature of surveillance capitalism, makes it virtually impossible for individuals to self-manage their privacy and security. In fact, corporate interests who benefit from the ubiquitous digital surveillance online purposely obscure their activities, complicating the ability of users to accurately perceive the degree of risk inherent in online activities. Our concepts of privacy and responsibility online further disempower users and dissuade them from demanding privacy as a human right. While some individually initiated protective behaviors can be efficacious in curbing localized harm, significant legal reforms are needed for lasting privacy protection and harm reduction for all users. My discussion demonstrates how, as writing teachers, we can help students to become advocates for legal and regulatory reforms through completing assignments, such as the tracking report described herein, that help them to experience and, thus, more accurately read the risks resulting from compromised privacy in digital spaces.","author":[{"dropping-particle":"","family":"Reilly","given":"Colleen A","non-dropping-particle":"","parse-names":false,"suffix":""}],"container-title":"Computers and Composition","id":"ITEM-3","issued":{"date-parts":[["2021"]]},"page":"102652","title":"Reading risk: Preparing students to develop critical digital literacies and advocate for privacy in digital spaces","type":"article-journal","volume":"61"},"uris":["http://www.mendeley.com/documents/?uuid=8f1eb779-04b8-4d1f-98c0-dadedd568ff2"]}],"mendeley":{"formattedCitation":"(Akanfe et al., 2024; Reilly, 2021; Yang &amp; Siniscalchi, 2024)","plainTextFormattedCitation":"(Akanfe et al., 2024; Reilly, 2021; Yang &amp; Siniscalchi, 2024)","previouslyFormattedCitation":"(Akanfe et al., 2024; Reilly, 2021; Yang &amp; Siniscalchi, 2024)"},"properties":{"noteIndex":0},"schema":"https://github.com/citation-style-language/schema/raw/master/csl-citation.json"}</w:instrText>
      </w:r>
      <w:r w:rsidR="00835D5E">
        <w:rPr>
          <w:rFonts w:ascii="Gulliver" w:hAnsi="Gulliver"/>
          <w:sz w:val="20"/>
          <w:szCs w:val="20"/>
        </w:rPr>
        <w:fldChar w:fldCharType="separate"/>
      </w:r>
      <w:r w:rsidR="00835D5E" w:rsidRPr="00835D5E">
        <w:rPr>
          <w:rFonts w:ascii="Gulliver" w:hAnsi="Gulliver"/>
          <w:noProof/>
          <w:sz w:val="20"/>
          <w:szCs w:val="20"/>
        </w:rPr>
        <w:t>(Akanfe et al., 2024; Reilly, 2021; Yang &amp; Siniscalchi, 2024)</w:t>
      </w:r>
      <w:r w:rsidR="00835D5E">
        <w:rPr>
          <w:rFonts w:ascii="Gulliver" w:hAnsi="Gulliver"/>
          <w:sz w:val="20"/>
          <w:szCs w:val="20"/>
        </w:rPr>
        <w:fldChar w:fldCharType="end"/>
      </w:r>
      <w:r w:rsidR="00835D5E">
        <w:rPr>
          <w:rFonts w:ascii="Gulliver" w:hAnsi="Gulliver"/>
          <w:sz w:val="20"/>
          <w:szCs w:val="20"/>
        </w:rPr>
        <w:t xml:space="preserve">, </w:t>
      </w:r>
      <w:r w:rsidRPr="00EB3855">
        <w:rPr>
          <w:rFonts w:ascii="Gulliver" w:hAnsi="Gulliver"/>
          <w:sz w:val="20"/>
          <w:szCs w:val="20"/>
        </w:rPr>
        <w:t xml:space="preserve">all aspects which the AI Ethics Guidelines have started addressing. Furthermore, although ML is good at prediction tasks, it is not yet very useful for causal inference and prescriptive analytics </w:t>
      </w:r>
      <w:r w:rsidR="00835D5E">
        <w:rPr>
          <w:rFonts w:ascii="Gulliver" w:hAnsi="Gulliver"/>
          <w:sz w:val="20"/>
          <w:szCs w:val="20"/>
        </w:rPr>
        <w:fldChar w:fldCharType="begin" w:fldLock="1"/>
      </w:r>
      <w:r w:rsidR="00835D5E">
        <w:rPr>
          <w:rFonts w:ascii="Gulliver" w:hAnsi="Gulliver"/>
          <w:sz w:val="20"/>
          <w:szCs w:val="20"/>
        </w:rPr>
        <w:instrText>ADDIN CSL_CITATION {"citationItems":[{"id":"ITEM-1","itemData":{"DOI":"https://doi.org/10.1016/j.inffus.2023.03.008","ISSN":"1566-2535","abstract":"In the last few years, the trend in health care of embracing artificial intelligence (AI) has dramatically changed the medical landscape. Medical centres have adopted AI applications to increase the accuracy of disease diagnosis and mitigate health risks. AI applications have changed rules and policies related to healthcare practice and work ethics. However, building trustworthy and explainable AI (XAI) in healthcare systems is still in its early stages. Specifically, the European Union has stated that AI must be human-centred and trustworthy, whereas in the healthcare sector, low methodological quality and high bias risk have become major concerns. This study endeavours to offer a systematic review of the trustworthiness and explainability of AI applications in healthcare, incorporating the assessment of quality, bias risk, and data fusion to supplement previous studies and provide more accurate and definitive findings. Likewise, 64 recent contributions on the trustworthiness of AI in healthcare from multiple databases (i.e., ScienceDirect, Scopus, Web of Science, and IEEE Xplore) were identified using a rigorous literature search method and selection criteria. The considered papers were categorised into a coherent and systematic classification including seven categories: explainable robotics, prediction, decision support, blockchain, transparency, digital health, and review. In this paper, we have presented a systematic and comprehensive analysis of earlier studies and opened the door to potential future studies by discussing in depth the challenges, motivations, and recommendations. In this study a systematic science mapping analysis in order to reorganise and summarise the results of earlier studies to address the issues of trustworthiness and objectivity was also performed. Moreover, this work has provided decisive evidence for the trustworthiness of AI in health care by presenting eight current state-of-the-art critical analyses regarding those more relevant research gaps. In addition, to the best of our knowledge, this study is the first to investigate the feasibility of utilising trustworthy and XAI applications in healthcare, by incorporating data fusion techniques and connecting various important pieces of information from available healthcare datasets and AI algorithms. The analysis of the revised contributions revealed crucial implications for academics and practitioners, and then potential methodological aspects to enhance the trustworthine</w:instrText>
      </w:r>
      <w:r w:rsidR="00835D5E">
        <w:rPr>
          <w:rFonts w:ascii="Gulliver" w:hAnsi="Gulliver" w:hint="eastAsia"/>
          <w:sz w:val="20"/>
          <w:szCs w:val="20"/>
        </w:rPr>
        <w:instrText>…</w:instrText>
      </w:r>
      <w:r w:rsidR="00835D5E">
        <w:rPr>
          <w:rFonts w:ascii="Gulliver" w:hAnsi="Gulliver"/>
          <w:sz w:val="20"/>
          <w:szCs w:val="20"/>
        </w:rPr>
        <w:instrText>","author":[{"dropping-particle":"","family":"Albahri","given":"A S","non-dropping-particle":"","parse-names":false,"suffix":""},{"dropping-particle":"","family":"Duhaim","given":"Ali M","non-dropping-particle":"","parse-names":false,"suffix":""},{"dropping-particle":"","family":"Fadhel","given":"Mohammed A","non-dropping-particle":"","parse-names":false,"suffix":""},{"dropping-particle":"","family":"Alnoor","given":"Alhamzah","non-dropping-particle":"","parse-names":false,"suffix":""},{"dropping-particle":"","family":"Baqer","given":"Noor S","non-dropping-particle":"","parse-names":false,"suffix":""},{"dropping-particle":"","family":"Alzubaidi","given":"Laith","non-dropping-particle":"","parse-names":false,"suffix":""},{"dropping-particle":"","family":"Albahri","given":"O S","non-dropping-particle":"","parse-names":false,"suffix":""},{"dropping-particle":"","family":"Alamoodi","given":"A H","non-dropping-particle":"","parse-names":false,"suffix":""},{"dropping-particle":"","family":"Bai","given":"Jinshuai","non-dropping-particle":"","parse-names":false,"suffix":""},{"dropping-particle":"","family":"Salhi","given":"Asma","non-dropping-particle":"","parse-names":false,"suffix":""},{"dropping-particle":"","family":"Santamar</w:instrText>
      </w:r>
      <w:r w:rsidR="00835D5E">
        <w:rPr>
          <w:rFonts w:ascii="Gulliver" w:hAnsi="Gulliver" w:hint="eastAsia"/>
          <w:sz w:val="20"/>
          <w:szCs w:val="20"/>
        </w:rPr>
        <w:instrText>í</w:instrText>
      </w:r>
      <w:r w:rsidR="00835D5E">
        <w:rPr>
          <w:rFonts w:ascii="Gulliver" w:hAnsi="Gulliver"/>
          <w:sz w:val="20"/>
          <w:szCs w:val="20"/>
        </w:rPr>
        <w:instrText>a","given":"Jose","non-dropping-particle":"","parse-names":false,"suffix":""},{"dropping-particle":"","family":"Ouyang","given":"Chun","non-dropping-particle":"","parse-names":false,"suffix":""},{"dropping-particle":"","family":"Gupta","given":"Ashish","non-dropping-particle":"","parse-names":false,"suffix":""},{"dropping-particle":"","family":"Gu","given":"Yuantong","non-dropping-particle":"","parse-names":false,"suffix":""},{"dropping-particle":"","family":"Deveci","given":"Muhammet","non-dropping-particle":"","parse-names":false,"suffix":""}],"container-title":"Information Fusion","id":"ITEM-1","issued":{"date-parts":[["2023"]]},"page":"156-191","title":"A systematic review of trustworthy and explainable artificial intelligence in healthcare: Assessment of quality, bias risk, and data fusion","type":"article-journal","volume":"96"},"uris":["http://www.mendeley.com/documents/?uuid=d4716e92-5ae0-46dd-a7a1-69f49f3e5dbb"]}],"mendeley":{"formattedCitation":"(Albahri et al., 2023)","plainTextFormattedCitation":"(Albahri et al., 2023)","previouslyFormattedCitation":"(Albahri et al., 2023)"},"properties":{"noteIndex":0},"schema":"https://github.com/citation-style-language/schema/raw/master/csl-citation.json"}</w:instrText>
      </w:r>
      <w:r w:rsidR="00835D5E">
        <w:rPr>
          <w:rFonts w:ascii="Gulliver" w:hAnsi="Gulliver"/>
          <w:sz w:val="20"/>
          <w:szCs w:val="20"/>
        </w:rPr>
        <w:fldChar w:fldCharType="separate"/>
      </w:r>
      <w:r w:rsidR="00835D5E" w:rsidRPr="00835D5E">
        <w:rPr>
          <w:rFonts w:ascii="Gulliver" w:hAnsi="Gulliver"/>
          <w:noProof/>
          <w:sz w:val="20"/>
          <w:szCs w:val="20"/>
        </w:rPr>
        <w:t>(Albahri et al., 2023)</w:t>
      </w:r>
      <w:r w:rsidR="00835D5E">
        <w:rPr>
          <w:rFonts w:ascii="Gulliver" w:hAnsi="Gulliver"/>
          <w:sz w:val="20"/>
          <w:szCs w:val="20"/>
        </w:rPr>
        <w:fldChar w:fldCharType="end"/>
      </w:r>
      <w:r w:rsidRPr="00EB3855">
        <w:rPr>
          <w:rFonts w:ascii="Gulliver" w:hAnsi="Gulliver"/>
          <w:sz w:val="20"/>
          <w:szCs w:val="20"/>
        </w:rPr>
        <w:t>. The absence of cross-disciplinary frameworks that fuse AI methodologies with conventional marketing concepts adds to these challenges (Rust &amp; Huang, 2021).</w:t>
      </w:r>
    </w:p>
    <w:p w14:paraId="1CB50402" w14:textId="5658E32C" w:rsidR="00FF0C2D" w:rsidRPr="00EB3855" w:rsidRDefault="00FF0C2D" w:rsidP="00FF0C2D">
      <w:pPr>
        <w:spacing w:after="0" w:line="271" w:lineRule="auto"/>
        <w:ind w:firstLine="284"/>
        <w:jc w:val="both"/>
        <w:rPr>
          <w:rFonts w:ascii="Gulliver" w:hAnsi="Gulliver"/>
          <w:sz w:val="20"/>
          <w:szCs w:val="20"/>
        </w:rPr>
      </w:pPr>
      <w:r w:rsidRPr="00EB3855">
        <w:rPr>
          <w:rFonts w:ascii="Gulliver" w:hAnsi="Gulliver"/>
          <w:sz w:val="20"/>
          <w:szCs w:val="20"/>
        </w:rPr>
        <w:t xml:space="preserve">AI and ML are theoretically grounded by the fact they can consume large scale, complex data and find relationships which can be more difficult to model using traditional statistical models. Machine learning, as defined by Mitchell (1997) showing it has the potential to increase performance with experience, is still a keystone of this area. Recent deep learning progress </w:t>
      </w:r>
      <w:r w:rsidR="00835D5E">
        <w:rPr>
          <w:rFonts w:ascii="Gulliver" w:hAnsi="Gulliver"/>
          <w:sz w:val="20"/>
          <w:szCs w:val="20"/>
        </w:rPr>
        <w:fldChar w:fldCharType="begin" w:fldLock="1"/>
      </w:r>
      <w:r w:rsidR="00835D5E">
        <w:rPr>
          <w:rFonts w:ascii="Gulliver" w:hAnsi="Gulliver"/>
          <w:sz w:val="20"/>
          <w:szCs w:val="20"/>
        </w:rPr>
        <w:instrText>ADDIN CSL_CITATION {"citationItems":[{"id":"ITEM-1","itemData":{"DOI":"https://doi.org/10.1016/j.cej.2024.151625","ISSN":"1385-8947","abstract":"In the rapidly evolving landscape of electrochemical energy storage (EES), the advent of artificial intelligence (AI) has emerged as a keystone for innovation in material design, propelling forward the design and discovery of batteries, fuel cells, supercapacitors, and many other functional materials. This review paper elucidates the burgeoning role of AI in materials from foundational machine learning (ML) techniques to its current pivotal role in advancing the frontiers of materials science for energy storage, including enhancing the performance, durability, and safety of battery technologies, fuel cell efficiency and longevity, and the materials fine-tuning in supercapacitors to achieve superior energy storage capabilities. Collectively, we present a comprehensive overview of the recent AI advancements that have significantly accelerated the development of next-generation materials for EES, offering insights into future research trajectories and the potential for AI to unlock new horizons in materials science.","author":[{"dropping-particle":"","family":"Liu","given":"Xinxin","non-dropping-particle":"","parse-names":false,"suffix":""},{"dropping-particle":"","family":"Fan","given":"Kexin","non-dropping-particle":"","parse-names":false,"suffix":""},{"dropping-particle":"","family":"Huang","given":"Xinmeng","non-dropping-particle":"","parse-names":false,"suffix":""},{"dropping-particle":"","family":"Ge","given":"Jiankai","non-dropping-particle":"","parse-names":false,"suffix":""},{"dropping-particle":"","family":"Liu","given":"Yujie","non-dropping-particle":"","parse-names":false,"suffix":""},{"dropping-particle":"","family":"Kang","given":"Haisu","non-dropping-particle":"","parse-names":false,"suffix":""}],"container-title":"Chemical Engineering Journal","id":"ITEM-1","issued":{"date-parts":[["2024"]]},"page":"151625","title":"Recent advances in artificial intelligence boosting materials design for electrochemical energy storage","type":"article-journal","volume":"490"},"uris":["http://www.mendeley.com/documents/?uuid=5ac26a8d-f93e-446f-9688-98ba8dae4868"]},{"id":"ITEM-2","itemData":{"DOI":"https://doi.org/10.1016/j.nbt.2023.02.001","ISSN":"1871-6784","abstract":"Due to popular successes (e.g., ChatGPT) Artificial Intelligence (AI) is on everyone's lips today. When advances in biotechnology are combined with advances in AI unprecedented new potential solutions become available. This can help with many global problems and contribute to important Sustainability Development Goals. Current examples include Food Security, Health and Well-being, Clean Water, Clean Energy, Responsible Consumption and Production, Climate Action, Life below Water, or protect, restore and promote sustainable use of terrestrial ecosystems, sustainably manage forests, combat desertification, and halt and reverse land degradation and halt biodiversity loss. AI is ubiquitous in the life sciences today. Topics include a wide range from machine learning and Big Data analytics, knowledge discovery and data mining, biomedical ontologies, knowledge-based reasoning, natural language processing, decision support and reasoning under uncertainty, temporal and spatial representation and inference, and methodological aspects of explainable AI (XAI) with applications of biotechnology. In this pre-Editorial paper, we provide an overview of open research issues and challenges for each of the topics addressed in this special issue. Potential authors can directly use this as a guideline for developing their paper.","author":[{"dropping-particle":"","family":"Holzinger","given":"Andreas","non-dropping-particle":"","parse-names":false,"suffix":""},{"dropping-particle":"","family":"Keiblinger","given":"Katharina","non-dropping-particle":"","parse-names":false,"suffix":""},{"dropping-particle":"","family":"Holub","given":"Petr","non-dropping-particle":"","parse-names":false,"suffix":""},{"dropping-particle":"","family":"Zatloukal","given":"Kurt","non-dropping-particle":"","parse-names":false,"suffix":""},{"dropping-particle":"","family":"M</w:instrText>
      </w:r>
      <w:r w:rsidR="00835D5E">
        <w:rPr>
          <w:rFonts w:ascii="Gulliver" w:hAnsi="Gulliver" w:hint="eastAsia"/>
          <w:sz w:val="20"/>
          <w:szCs w:val="20"/>
        </w:rPr>
        <w:instrText>ü</w:instrText>
      </w:r>
      <w:r w:rsidR="00835D5E">
        <w:rPr>
          <w:rFonts w:ascii="Gulliver" w:hAnsi="Gulliver"/>
          <w:sz w:val="20"/>
          <w:szCs w:val="20"/>
        </w:rPr>
        <w:instrText>ller","given":"Heimo","non-dropping-particle":"","parse-names":false,"suffix":""}],"container-title":"New Biotechnology","id":"ITEM-2","issued":{"date-parts":[["2023"]]},"page":"16-24","title":"AI for life: Trends in artificial intelligence for biotechnology","type":"article-journal","volume":"74"},"uris":["http://www.mendeley.com/documents/?uuid=5427ac51-bf68-46cb-8e7b-fddc9c98f8a6"]},{"id":"ITEM-3","itemData":{"DOI":"https://doi.org/10.1016/j.comnet.2022.108836","ISSN":"1389-1286","abstract":"Modern networks generate a massive amount of traffic data streams. Analyzing this data is essential for various purposes, such as network resources management and cyber-security analysis. There is an urgent need for data analytic methods that can perform network data processing in an online manner based on the arrival of new data. Online machine learning (OL) techniques promise to support such type of data analytics. In this paper, we investigate and compare the OL techniques that facilitate data stream analytics in the networking domain. We also investigate the importance of traffic data analytics and highlight the advantages of online learning in this regard, as well as the challenges associated with OL-based network traffic stream analysis, e.g.,</w:instrText>
      </w:r>
      <w:r w:rsidR="00835D5E">
        <w:rPr>
          <w:rFonts w:ascii="Gulliver" w:hAnsi="Gulliver" w:hint="eastAsia"/>
          <w:sz w:val="20"/>
          <w:szCs w:val="20"/>
        </w:rPr>
        <w:instrText> </w:instrText>
      </w:r>
      <w:r w:rsidR="00835D5E">
        <w:rPr>
          <w:rFonts w:ascii="Gulliver" w:hAnsi="Gulliver"/>
          <w:sz w:val="20"/>
          <w:szCs w:val="20"/>
        </w:rPr>
        <w:instrText>concept drift and the imbalanced classes. We review the data stream processing tools and frameworks that can be used to process such data online or on-the-fly along with their pros and cons, and their integrability with de facto data processing frameworks. To explore the performance of OL techniques, we conduct an empirical evaluation on the performance of different ensemble- and tree-based algorithms for network traffic classification. Finally, the open issues and the future directions in analyzing traffic data streams are presented. This technical study presents valuable insights and outlook for the network research community when dealing with the requirements and purposes of online data streams analytics and learning in the networking domain.","author":[{"dropping-particle":"","family":"Shahraki","given":"Amin","non-dropping-particle":"","parse-names":false,"suffix":""},{"dropping-particle":"","family":"Abbasi","given":"Mahmoud","non-dropping-particle":"","parse-names":false,"suffix":""},{"dropping-particle":"","family":"Taherkordi","given":"Amir","non-dropping-particle":"","parse-names":false,"suffix":""},{"dropping-particle":"","family":"Jurcut","given":"Anca Delia","non-dropping-particle":"","parse-names":false,"suffix":""}],"container-title":"Computer Networks","id":"ITEM-3","issued":{"date-parts":[["2022"]]},"page":"108836","title":"A comparative study on online machine learning techniques for network traffic streams analysis","type":"article-journal","volume":"207"},"uris":["http://www.mendeley.com/documents/?uuid=3e834249-5172-4622-acdc-522c3b6fcbfa"]}],"mendeley":{"formattedCitation":"(Holzinger et al., 2023; Liu et al., 2024; Shahraki et al., 2022)","manualFormatting":"Holzinger et al. (2023), Liu et al. (2024), Shahraki et al. (2022)","plainTextFormattedCitation":"(Holzinger et al., 2023; Liu et al., 2024; Shahraki et al., 2022)","previouslyFormattedCitation":"(Holzinger et al., 2023; Liu et al., 2024; Shahraki et al., 2022)"},"properties":{"noteIndex":0},"schema":"https://github.com/citation-style-language/schema/raw/master/csl-citation.json"}</w:instrText>
      </w:r>
      <w:r w:rsidR="00835D5E">
        <w:rPr>
          <w:rFonts w:ascii="Gulliver" w:hAnsi="Gulliver"/>
          <w:sz w:val="20"/>
          <w:szCs w:val="20"/>
        </w:rPr>
        <w:fldChar w:fldCharType="separate"/>
      </w:r>
      <w:r w:rsidR="00835D5E" w:rsidRPr="00835D5E">
        <w:rPr>
          <w:rFonts w:ascii="Gulliver" w:hAnsi="Gulliver"/>
          <w:noProof/>
          <w:sz w:val="20"/>
          <w:szCs w:val="20"/>
        </w:rPr>
        <w:t xml:space="preserve">Holzinger et al. </w:t>
      </w:r>
      <w:r w:rsidR="00835D5E">
        <w:rPr>
          <w:rFonts w:ascii="Gulliver" w:hAnsi="Gulliver"/>
          <w:noProof/>
          <w:sz w:val="20"/>
          <w:szCs w:val="20"/>
        </w:rPr>
        <w:t>(</w:t>
      </w:r>
      <w:r w:rsidR="00835D5E" w:rsidRPr="00835D5E">
        <w:rPr>
          <w:rFonts w:ascii="Gulliver" w:hAnsi="Gulliver"/>
          <w:noProof/>
          <w:sz w:val="20"/>
          <w:szCs w:val="20"/>
        </w:rPr>
        <w:t>2023</w:t>
      </w:r>
      <w:r w:rsidR="00835D5E">
        <w:rPr>
          <w:rFonts w:ascii="Gulliver" w:hAnsi="Gulliver"/>
          <w:noProof/>
          <w:sz w:val="20"/>
          <w:szCs w:val="20"/>
        </w:rPr>
        <w:t>),</w:t>
      </w:r>
      <w:r w:rsidR="00835D5E" w:rsidRPr="00835D5E">
        <w:rPr>
          <w:rFonts w:ascii="Gulliver" w:hAnsi="Gulliver"/>
          <w:noProof/>
          <w:sz w:val="20"/>
          <w:szCs w:val="20"/>
        </w:rPr>
        <w:t xml:space="preserve"> Liu et al. </w:t>
      </w:r>
      <w:r w:rsidR="00835D5E">
        <w:rPr>
          <w:rFonts w:ascii="Gulliver" w:hAnsi="Gulliver"/>
          <w:noProof/>
          <w:sz w:val="20"/>
          <w:szCs w:val="20"/>
        </w:rPr>
        <w:t>(</w:t>
      </w:r>
      <w:r w:rsidR="00835D5E" w:rsidRPr="00835D5E">
        <w:rPr>
          <w:rFonts w:ascii="Gulliver" w:hAnsi="Gulliver"/>
          <w:noProof/>
          <w:sz w:val="20"/>
          <w:szCs w:val="20"/>
        </w:rPr>
        <w:t>2024</w:t>
      </w:r>
      <w:r w:rsidR="00835D5E">
        <w:rPr>
          <w:rFonts w:ascii="Gulliver" w:hAnsi="Gulliver"/>
          <w:noProof/>
          <w:sz w:val="20"/>
          <w:szCs w:val="20"/>
        </w:rPr>
        <w:t>),</w:t>
      </w:r>
      <w:r w:rsidR="00835D5E" w:rsidRPr="00835D5E">
        <w:rPr>
          <w:rFonts w:ascii="Gulliver" w:hAnsi="Gulliver"/>
          <w:noProof/>
          <w:sz w:val="20"/>
          <w:szCs w:val="20"/>
        </w:rPr>
        <w:t xml:space="preserve"> Shahraki et al. </w:t>
      </w:r>
      <w:r w:rsidR="00835D5E">
        <w:rPr>
          <w:rFonts w:ascii="Gulliver" w:hAnsi="Gulliver"/>
          <w:noProof/>
          <w:sz w:val="20"/>
          <w:szCs w:val="20"/>
        </w:rPr>
        <w:t>(</w:t>
      </w:r>
      <w:r w:rsidR="00835D5E" w:rsidRPr="00835D5E">
        <w:rPr>
          <w:rFonts w:ascii="Gulliver" w:hAnsi="Gulliver"/>
          <w:noProof/>
          <w:sz w:val="20"/>
          <w:szCs w:val="20"/>
        </w:rPr>
        <w:t>2022)</w:t>
      </w:r>
      <w:r w:rsidR="00835D5E">
        <w:rPr>
          <w:rFonts w:ascii="Gulliver" w:hAnsi="Gulliver"/>
          <w:sz w:val="20"/>
          <w:szCs w:val="20"/>
        </w:rPr>
        <w:fldChar w:fldCharType="end"/>
      </w:r>
      <w:r w:rsidRPr="00EB3855">
        <w:rPr>
          <w:rFonts w:ascii="Gulliver" w:hAnsi="Gulliver"/>
          <w:sz w:val="20"/>
          <w:szCs w:val="20"/>
        </w:rPr>
        <w:t xml:space="preserve">, which show that neural networks can accurately capture complex patterns in data, making them suitable for customer segmentation and personalized recommendations. For instance, reinforcement learning theories are particularly well-suited to explain dynamic decision-making in settings relevant to marketing </w:t>
      </w:r>
      <w:r w:rsidR="00835D5E">
        <w:rPr>
          <w:rFonts w:ascii="Gulliver" w:hAnsi="Gulliver"/>
          <w:sz w:val="20"/>
          <w:szCs w:val="20"/>
        </w:rPr>
        <w:fldChar w:fldCharType="begin" w:fldLock="1"/>
      </w:r>
      <w:r w:rsidR="00AB1C71">
        <w:rPr>
          <w:rFonts w:ascii="Gulliver" w:hAnsi="Gulliver"/>
          <w:sz w:val="20"/>
          <w:szCs w:val="20"/>
        </w:rPr>
        <w:instrText>ADDIN CSL_CITATION {"citationItems":[{"id":"ITEM-1","itemData":{"DOI":"https://doi.org/10.1016/j.jjimei.2022.100094","ISSN":"2667-0968","abstract":"Data availability and accessibility have brought in unseen changes in the finance systems and new theoretical and computational challenges. For example, in contrast to classical stochastic control theory and other analytical approaches for solving financial decision-making problems that rely heavily on model assumptions, new developments from reinforcement learning (RL) can make full use of a large amount of financial data with fewer model assumptions and improve decisions in complex economic environments. This paper reviews the developments and use of Deep Learning(DL), RL, and Deep Reinforcement Learning (DRL)methods in information-based decision-making in financial industries. Therefore, it is necessary to understand the variety of learning methods, related terminology, and their applicability in the financial field. First, we introduce Markov decision processes, followed by Various algorithms focusing on value and policy-based methods that do not require any model assumptions. Next, connections are made with neural networks to extend the framework to encompass deep RL algorithms. Finally, the paper concludes by discussing the application of these RL and DRL algorithms in various decision-making problems in finance, including optimal execution, portfolio optimization, option pricing, hedging, and market-making. The survey results indicate that RL and DRL can provide better performance and higher efficiency than traditional algorithms while facing real economic problems in risk parameters and ever-increasing uncertainties. Moreover, it offers academics and practitioners insight and direction on the state-of-the-art application of deep learning models in finance.","author":[{"dropping-particle":"","family":"Singh","given":"Vinay","non-dropping-particle":"","parse-names":false,"suffix":""},{"dropping-particle":"","family":"Chen","given":"Shiuann-Shuoh","non-dropping-particle":"","parse-names":false,"suffix":""},{"dropping-particle":"","family":"Singhania","given":"Minal","non-dropping-particle":"","parse-names":false,"suffix":""},{"dropping-particle":"","family":"Nanavati","given":"Brijesh","non-dropping-particle":"","parse-names":false,"suffix":""},{"dropping-particle":"","family":"kar","given":"Arpan kumar","non-dropping-particle":"","parse-names":false,"suffix":""},{"dropping-particle":"","family":"Gupta","given":"Agam","non-dropping-particle":"","parse-names":false,"suffix":""}],"container-title":"International Journal of Information Management Data Insights","id":"ITEM-1","issue":"2","issued":{"date-parts":[["2022"]]},"page":"100094","title":"How are reinforcement learning and deep learning algorithms used for big data based decision making in financial industries</w:instrText>
      </w:r>
      <w:r w:rsidR="00AB1C71">
        <w:rPr>
          <w:rFonts w:ascii="Gulliver" w:hAnsi="Gulliver" w:hint="eastAsia"/>
          <w:sz w:val="20"/>
          <w:szCs w:val="20"/>
        </w:rPr>
        <w:instrText>–</w:instrText>
      </w:r>
      <w:r w:rsidR="00AB1C71">
        <w:rPr>
          <w:rFonts w:ascii="Gulliver" w:hAnsi="Gulliver"/>
          <w:sz w:val="20"/>
          <w:szCs w:val="20"/>
        </w:rPr>
        <w:instrText>A review and research agenda","type":"article-journal","volume":"2"},"uris":["http://www.mendeley.com/documents/?uuid=4cd57c77-c8fe-48ad-b7a1-9b3e854f3968"]},{"id":"ITEM-2","itemData":{"DOI":"https://doi.org/10.1016/j.jbusres.2020.09.068","ISSN":"0148-2963","abstract":"The current expansion of theory and research on artificial intelligence in management and organization studies has revitalized the theory and research on decision-making in organizations. In particular, recent advances in deep learning (DL) algorithms promise benefits for decision-making within organizations, such as assisting employees with information processing, thereby augment their analytical capabilities and perhaps help their transition to more creative work. We conceptualize the decision-making process in organizations augmented with DL algorithm outcomes (such as predictions or robust patterns from unstructured data) as deep learning</w:instrText>
      </w:r>
      <w:r w:rsidR="00AB1C71">
        <w:rPr>
          <w:rFonts w:ascii="Gulliver" w:hAnsi="Gulliver" w:hint="eastAsia"/>
          <w:sz w:val="20"/>
          <w:szCs w:val="20"/>
        </w:rPr>
        <w:instrText>–</w:instrText>
      </w:r>
      <w:r w:rsidR="00AB1C71">
        <w:rPr>
          <w:rFonts w:ascii="Gulliver" w:hAnsi="Gulliver"/>
          <w:sz w:val="20"/>
          <w:szCs w:val="20"/>
        </w:rPr>
        <w:instrText>augmented decision-making (DLADM). We contribute to the understanding and application of DL for decision-making in organizations by (a) providing an accessible tutorial on DL algorithms and (b) illustrating DLADM with two case studies drawing on image recognition and sentiment analysis tasks performed on datasets from Zalando, a European e-commerce firm, and Rotten Tomatoes, a review aggregation website for movies, respectively. Finally, promises and challenges of DLADM as well as recommendations for managers in attending to these challenges are also discussed.","author":[{"dropping-particle":"","family":"Shrestha","given":"Yash Raj","non-dropping-particle":"","parse-names":false,"suffix":""},{"dropping-particle":"","family":"Krishna","given":"Vaibhav","non-dropping-particle":"","parse-names":false,"suffix":""},{"dropping-particle":"","family":"Krogh","given":"Georg","non-dropping-particle":"von","parse-names":false,"suffix":""}],"container-title":"Journal of Business Research","id":"ITEM-2","issued":{"date-parts":[["2021"]]},"page":"588-603","title":"Augmenting organizational decision-making with deep learning algorithms: Principles, promises, and challenges","type":"article-journal","volume":"123"},"uris":["http://www.mendeley.com/documents/?uuid=b99f747e-08e7-4260-908a-72994f39c331"]},{"id":"ITEM-3","itemData":{"DOI":"https://doi.org/10.1016/j.jbusres.2022.02.049","ISSN":"0148-2963","abstract":"In recent years, machine learning (ML) and artificial intelligence (AI) have attracted considerable attention in different industry sectors, including marketing. ML and AI hold great promise for making marketing intelligent and efficient. In this study, we conduct a literature review of academic journal studies on ML in marketing applications and propose a conceptual framework highlighting the main ML tools and technologies that serve as the foundation of ML applications in marketing. We use the 7Ps marketing mix, that is, product, price, promotion, place, people, process, and physical evidence, to analyze these applications from 140 selected articles. The applications are supported by various ML tools (text, voice, image, and video analytics) and techniques such as supervised, unsupervised, and reinforcement learning algorithms. We propose a two-layer conceptual framework for ML applications in marketing development. This framework can serve future research and provide an illustration of the development of ML applications in marketing.","author":[{"dropping-particle":"","family":"Ngai","given":"Eric W T","non-dropping-particle":"","parse-names":false,"suffix":""},{"dropping-particle":"","family":"Wu","given":"Yuanyuan","non-dropping-particle":"","parse-names":false,"suffix":""}],"container-title":"Journal of Business Research","id":"ITEM-3","issued":{"date-parts":[["2022"]]},"page":"35-48","title":"Machine learning in marketing: A literature review, conceptual framework, and research agenda","type":"article-journal","volume":"145"},"uris":["http://www.mendeley.com/documents/?uuid=2c723f3a-92b3-4a0a-955e-06cf7c525e1f"]}],"mendeley":{"formattedCitation":"(Ngai &amp; Wu, 2022; Shrestha et al., 2021; Singh et al., 2022)","plainTextFormattedCitation":"(Ngai &amp; Wu, 2022; Shrestha et al., 2021; Singh et al., 2022)","previouslyFormattedCitation":"(Ngai &amp; Wu, 2022; Shrestha et al., 2021; Singh et al., 2022)"},"properties":{"noteIndex":0},"schema":"https://github.com/citation-style-language/schema/raw/master/csl-citation.json"}</w:instrText>
      </w:r>
      <w:r w:rsidR="00835D5E">
        <w:rPr>
          <w:rFonts w:ascii="Gulliver" w:hAnsi="Gulliver"/>
          <w:sz w:val="20"/>
          <w:szCs w:val="20"/>
        </w:rPr>
        <w:fldChar w:fldCharType="separate"/>
      </w:r>
      <w:r w:rsidR="00835D5E" w:rsidRPr="00835D5E">
        <w:rPr>
          <w:rFonts w:ascii="Gulliver" w:hAnsi="Gulliver"/>
          <w:noProof/>
          <w:sz w:val="20"/>
          <w:szCs w:val="20"/>
        </w:rPr>
        <w:t>(Ngai &amp; Wu, 2022; Shrestha et al., 2021; Singh et al., 2022)</w:t>
      </w:r>
      <w:r w:rsidR="00835D5E">
        <w:rPr>
          <w:rFonts w:ascii="Gulliver" w:hAnsi="Gulliver"/>
          <w:sz w:val="20"/>
          <w:szCs w:val="20"/>
        </w:rPr>
        <w:fldChar w:fldCharType="end"/>
      </w:r>
      <w:r w:rsidRPr="00EB3855">
        <w:rPr>
          <w:rFonts w:ascii="Gulliver" w:hAnsi="Gulliver"/>
          <w:sz w:val="20"/>
          <w:szCs w:val="20"/>
        </w:rPr>
        <w:t xml:space="preserve">. While more data-driven ML offers solid tools, its theoretical shortcomings in </w:t>
      </w:r>
      <w:proofErr w:type="spellStart"/>
      <w:r w:rsidRPr="00EB3855">
        <w:rPr>
          <w:rFonts w:ascii="Gulliver" w:hAnsi="Gulliver"/>
          <w:sz w:val="20"/>
          <w:szCs w:val="20"/>
        </w:rPr>
        <w:t>modeling</w:t>
      </w:r>
      <w:proofErr w:type="spellEnd"/>
      <w:r w:rsidRPr="00EB3855">
        <w:rPr>
          <w:rFonts w:ascii="Gulliver" w:hAnsi="Gulliver"/>
          <w:sz w:val="20"/>
          <w:szCs w:val="20"/>
        </w:rPr>
        <w:t xml:space="preserve"> heterogeneity in causal drivers and explaining consumer commitment to brands necessitate the integration of established marketing theories such as Consumer Decision Journey Model (Court et al., 2012). Such integration would seamlessly merge the computational efficiency with theoretical robustness.</w:t>
      </w:r>
    </w:p>
    <w:p w14:paraId="5ED59D90" w14:textId="0ECEBAF1" w:rsidR="00FF0C2D" w:rsidRPr="00EB3855" w:rsidRDefault="00FF0C2D" w:rsidP="00FF0C2D">
      <w:pPr>
        <w:spacing w:after="0" w:line="271" w:lineRule="auto"/>
        <w:ind w:firstLine="284"/>
        <w:jc w:val="both"/>
        <w:rPr>
          <w:rFonts w:ascii="Gulliver" w:hAnsi="Gulliver"/>
          <w:sz w:val="20"/>
          <w:szCs w:val="20"/>
        </w:rPr>
      </w:pPr>
      <w:r w:rsidRPr="00EB3855">
        <w:rPr>
          <w:rFonts w:ascii="Gulliver" w:hAnsi="Gulliver"/>
          <w:sz w:val="20"/>
          <w:szCs w:val="20"/>
        </w:rPr>
        <w:t xml:space="preserve">However, AI and ML in marketing has far resulted in both pros and cons that indicate the necessity of fresh research. The predictive power of these machine learning models to capture consumer </w:t>
      </w:r>
      <w:r w:rsidR="00AA0346">
        <w:rPr>
          <w:rFonts w:ascii="Gulliver" w:hAnsi="Gulliver"/>
          <w:sz w:val="20"/>
          <w:szCs w:val="20"/>
        </w:rPr>
        <w:t>behaviour</w:t>
      </w:r>
      <w:r w:rsidRPr="00EB3855">
        <w:rPr>
          <w:rFonts w:ascii="Gulliver" w:hAnsi="Gulliver"/>
          <w:sz w:val="20"/>
          <w:szCs w:val="20"/>
        </w:rPr>
        <w:t xml:space="preserve"> is well </w:t>
      </w:r>
      <w:r w:rsidRPr="00EB3855">
        <w:rPr>
          <w:rFonts w:ascii="Gulliver" w:hAnsi="Gulliver"/>
          <w:sz w:val="20"/>
          <w:szCs w:val="20"/>
        </w:rPr>
        <w:lastRenderedPageBreak/>
        <w:t xml:space="preserve">documented in the literature </w:t>
      </w:r>
      <w:r w:rsidR="00AB1C71">
        <w:rPr>
          <w:rFonts w:ascii="Gulliver" w:hAnsi="Gulliver"/>
          <w:sz w:val="20"/>
          <w:szCs w:val="20"/>
        </w:rPr>
        <w:fldChar w:fldCharType="begin" w:fldLock="1"/>
      </w:r>
      <w:r w:rsidR="00AB1C71">
        <w:rPr>
          <w:rFonts w:ascii="Gulliver" w:hAnsi="Gulliver"/>
          <w:sz w:val="20"/>
          <w:szCs w:val="20"/>
        </w:rPr>
        <w:instrText>ADDIN CSL_CITATION {"citationItems":[{"id":"ITEM-1","itemData":{"DOI":"https://doi.org/10.1016/j.ejor.2018.04.034","ISSN":"0377-2217","abstract":"Predicting future customer behavior provides key information for efficiently directing resources at sales and marketing departments. Such information supports planning the inventory at the warehouse and point of sales, as well strategic decisions during manufacturing processes. In this paper, we develop advanced analytics tools that predict future customer behavior in the non-contractual setting. We establish a dynamic and data driven framework for predicting whether a customer is going to make purchase at the company within a certain time frame in the near future. For that purpose, we propose a new set of customer relevant features that derives from times and values of previous purchases. These customer features are updated every month, and state of the art machine learning algorithms are applied for purchase prediction. In our studies, the gradient tree boosting method turns out to be the best performing method. Using a data set containing more than 10 000 customers and a total number of 200 000 purchases we obtain an accuracy score of 89% and an AUC value of 0.95 for predicting next moth purchases on the test data set.","author":[{"dropping-particle":"","family":"Mart</w:instrText>
      </w:r>
      <w:r w:rsidR="00AB1C71">
        <w:rPr>
          <w:rFonts w:ascii="Gulliver" w:hAnsi="Gulliver" w:hint="eastAsia"/>
          <w:sz w:val="20"/>
          <w:szCs w:val="20"/>
        </w:rPr>
        <w:instrText>í</w:instrText>
      </w:r>
      <w:r w:rsidR="00AB1C71">
        <w:rPr>
          <w:rFonts w:ascii="Gulliver" w:hAnsi="Gulliver"/>
          <w:sz w:val="20"/>
          <w:szCs w:val="20"/>
        </w:rPr>
        <w:instrText>nez","given":"Andr</w:instrText>
      </w:r>
      <w:r w:rsidR="00AB1C71">
        <w:rPr>
          <w:rFonts w:ascii="Gulliver" w:hAnsi="Gulliver" w:hint="eastAsia"/>
          <w:sz w:val="20"/>
          <w:szCs w:val="20"/>
        </w:rPr>
        <w:instrText>é</w:instrText>
      </w:r>
      <w:r w:rsidR="00AB1C71">
        <w:rPr>
          <w:rFonts w:ascii="Gulliver" w:hAnsi="Gulliver"/>
          <w:sz w:val="20"/>
          <w:szCs w:val="20"/>
        </w:rPr>
        <w:instrText xml:space="preserve">s","non-dropping-particle":"","parse-names":false,"suffix":""},{"dropping-particle":"","family":"Schmuck","given":"Claudia","non-dropping-particle":"","parse-names":false,"suffix":""},{"dropping-particle":"","family":"Pereverzyev","given":"Sergiy","non-dropping-particle":"","parse-names":false,"suffix":""},{"dropping-particle":"","family":"Pirker","given":"Clemens","non-dropping-particle":"","parse-names":false,"suffix":""},{"dropping-particle":"","family":"Haltmeier","given":"Markus","non-dropping-particle":"","parse-names":false,"suffix":""}],"container-title":"European Journal of Operational Research","id":"ITEM-1","issue":"3","issued":{"date-parts":[["2020"]]},"page":"588-596","title":"A machine learning framework for customer purchase prediction in the non-contractual setting","type":"article-journal","volume":"281"},"uris":["http://www.mendeley.com/documents/?uuid=5f23fe13-9d9d-499e-91d4-ffff36c84590"]},{"id":"ITEM-2","itemData":{"DOI":"https://doi.org/10.1016/j.ijresmar.2020.04.005","ISSN":"0167-8116","abstract":"Artificial intelligence (AI) agents driven by machine learning algorithms are rapidly transforming the business world, generating heightened interest from researchers. In this paper, we review and call for marketing research to leverage machine learning methods. We provide an overview of common machine learning tasks and methods, and compare them with statistical and econometric methods that marketing researchers traditionally use. We argue that machine learning methods can process large-scale and unstructured data, and have flexible model structures that yield strong predictive performance. Meanwhile, such methods may lack model transparency and interpretability. We discuss salient AI-driven industry trends and practices, and review the still nascent academic marketing literature which uses machine learning methods. More importantly, we present a unified conceptual framework and a multi-faceted research agenda. From five key aspects of empirical marketing research: method, data, usage, issue, and theory, we propose a number of research priorities, including extending machine learning methods and using them as core components in marketing research, using the methods to extract insights from large-scale unstructured, tracking, and network data, using them in transparent fashions for descriptive, causal, and prescriptive analyses, using them to map out customer purchase journeys and develop decision-support capabilities, and connecting the methods to human insights and marketing theories. Opportunities abound for machine learning methods in marketing, and we hope our multi-faceted research agenda will inspire more work in this exciting area.","author":[{"dropping-particle":"","family":"Ma","given":"Liye","non-dropping-particle":"","parse-names":false,"suffix":""},{"dropping-particle":"","family":"Sun","given":"Baohong","non-dropping-particle":"","parse-names":false,"suffix":""}],"container-title":"International Journal of Research in Marketing","id":"ITEM-2","issue":"3","issued":{"date-parts":[["2020"]]},"page":"481-504","title":"Machine learning and AI in marketing </w:instrText>
      </w:r>
      <w:r w:rsidR="00AB1C71">
        <w:rPr>
          <w:rFonts w:ascii="Gulliver" w:hAnsi="Gulliver" w:hint="eastAsia"/>
          <w:sz w:val="20"/>
          <w:szCs w:val="20"/>
        </w:rPr>
        <w:instrText>–</w:instrText>
      </w:r>
      <w:r w:rsidR="00AB1C71">
        <w:rPr>
          <w:rFonts w:ascii="Gulliver" w:hAnsi="Gulliver"/>
          <w:sz w:val="20"/>
          <w:szCs w:val="20"/>
        </w:rPr>
        <w:instrText xml:space="preserve"> Connecting computing power to human insights","type":"article-journal","volume":"37"},"uris":["http://www.mendeley.com/documents/?uuid=f1fe2a14-e4c6-4b81-ae1e-c79de356f319"]},{"id":"ITEM-3","itemData":{"DOI":"https://doi.org/10.1016/j.rser.2021.110714","ISSN":"1364-0321","abstract":"Building energy consumption prediction plays a key role in energy-efficiency decision making. With the advancement in data analytics, a number of machine learning-based building energy consumption prediction models have been developed in recent years. However, existing prediction models do not sufficiently take occupant behavior into account. Towards addressing this gap, this paper presents a machine-learning approach for predicting building energy consumption in an occupant-behavior-sensitive manner. In this approach, a model learns from a large set of energy-use cases that were modelled and simulated in EnergyPlus. The machine-learning prediction model was trained using a large dataset that includes 3-month hourly data for 5760 energy-use cases representing different combinations of building characteristics, outdoor weather conditions, and occupant behaviors. In developing the model, four machine-learning algorithms were tested and compared in terms of their prediction accuracy and computational efficiency: classification and regression trees (CART), ensemble bagging trees (EBT), artificial neural networks (ANN), and deep neural networks (DNN). The simulation results demonstrated the high impact of the variables considered in this study. For example, the highest energy-consuming case consumed over 3432 times more energy than the lowest-consuming case. Occupant behavior made a difference up to over 7 times in energy consumption. The DNN model with four hidden layers achieved 2.97% coefficient of variation (CV). Such high performance shows the potential of the proposed approach. The approach could help better understand the impact of occupant behavior on building energy consumption and identify opportunities for behavioral energy-saving measures.","author":[{"dropping-particle":"","family":"Amasyali","given":"Kadir","non-dropping-particle":"","parse-names":false,"suffix":""},{"dropping-particle":"","family":"El-Gohary","given":"Nora","non-dropping-particle":"","parse-names":false,"suffix":""}],"container-title":"Renewable and Sustainable Energy Reviews","id":"ITEM-3","issued":{"date-parts":[["2021"]]},"page":"110714","title":"Machine learning for occupant-behavior-sensitive cooling energy consumption prediction in office buildings","type":"article-journal","volume":"142"},"uris":["http://www.mendeley.com/documents/?uuid=cc003aaf-371b-42ee-935a-3ab640146bbf"]}],"mendeley":{"formattedCitation":"(Amasyali &amp; El-Gohary, 2021; Ma &amp; Sun, 2020; Mart</w:instrText>
      </w:r>
      <w:r w:rsidR="00AB1C71">
        <w:rPr>
          <w:rFonts w:ascii="Gulliver" w:hAnsi="Gulliver" w:hint="eastAsia"/>
          <w:sz w:val="20"/>
          <w:szCs w:val="20"/>
        </w:rPr>
        <w:instrText>í</w:instrText>
      </w:r>
      <w:r w:rsidR="00AB1C71">
        <w:rPr>
          <w:rFonts w:ascii="Gulliver" w:hAnsi="Gulliver"/>
          <w:sz w:val="20"/>
          <w:szCs w:val="20"/>
        </w:rPr>
        <w:instrText>nez et al., 2020)","plainTextFormattedCitation":"(Amasyali &amp; El-Gohary, 2021; Ma &amp; Sun, 2020; Mart</w:instrText>
      </w:r>
      <w:r w:rsidR="00AB1C71">
        <w:rPr>
          <w:rFonts w:ascii="Gulliver" w:hAnsi="Gulliver" w:hint="eastAsia"/>
          <w:sz w:val="20"/>
          <w:szCs w:val="20"/>
        </w:rPr>
        <w:instrText>í</w:instrText>
      </w:r>
      <w:r w:rsidR="00AB1C71">
        <w:rPr>
          <w:rFonts w:ascii="Gulliver" w:hAnsi="Gulliver"/>
          <w:sz w:val="20"/>
          <w:szCs w:val="20"/>
        </w:rPr>
        <w:instrText>nez et al., 2020)","previouslyFormattedCitation":"(Amasyali &amp; El-Gohary, 2021; Ma &amp; Sun, 2020; Mart</w:instrText>
      </w:r>
      <w:r w:rsidR="00AB1C71">
        <w:rPr>
          <w:rFonts w:ascii="Gulliver" w:hAnsi="Gulliver" w:hint="eastAsia"/>
          <w:sz w:val="20"/>
          <w:szCs w:val="20"/>
        </w:rPr>
        <w:instrText>í</w:instrText>
      </w:r>
      <w:r w:rsidR="00AB1C71">
        <w:rPr>
          <w:rFonts w:ascii="Gulliver" w:hAnsi="Gulliver"/>
          <w:sz w:val="20"/>
          <w:szCs w:val="20"/>
        </w:rPr>
        <w:instrText>nez et al., 2020)"},"properties":{"noteIndex":0},"schema":"https://github.com/citation-style-language/schema/raw/master/csl-citation.json"}</w:instrText>
      </w:r>
      <w:r w:rsidR="00AB1C71">
        <w:rPr>
          <w:rFonts w:ascii="Gulliver" w:hAnsi="Gulliver"/>
          <w:sz w:val="20"/>
          <w:szCs w:val="20"/>
        </w:rPr>
        <w:fldChar w:fldCharType="separate"/>
      </w:r>
      <w:r w:rsidR="00AB1C71" w:rsidRPr="00AB1C71">
        <w:rPr>
          <w:rFonts w:ascii="Gulliver" w:hAnsi="Gulliver"/>
          <w:noProof/>
          <w:sz w:val="20"/>
          <w:szCs w:val="20"/>
        </w:rPr>
        <w:t>(Amasyali &amp; El-Gohary, 2021; Ma &amp; Sun, 2020; Mart</w:t>
      </w:r>
      <w:r w:rsidR="00AB1C71" w:rsidRPr="00AB1C71">
        <w:rPr>
          <w:rFonts w:ascii="Gulliver" w:hAnsi="Gulliver" w:hint="eastAsia"/>
          <w:noProof/>
          <w:sz w:val="20"/>
          <w:szCs w:val="20"/>
        </w:rPr>
        <w:t>í</w:t>
      </w:r>
      <w:r w:rsidR="00AB1C71" w:rsidRPr="00AB1C71">
        <w:rPr>
          <w:rFonts w:ascii="Gulliver" w:hAnsi="Gulliver"/>
          <w:noProof/>
          <w:sz w:val="20"/>
          <w:szCs w:val="20"/>
        </w:rPr>
        <w:t>nez et al., 2020)</w:t>
      </w:r>
      <w:r w:rsidR="00AB1C71">
        <w:rPr>
          <w:rFonts w:ascii="Gulliver" w:hAnsi="Gulliver"/>
          <w:sz w:val="20"/>
          <w:szCs w:val="20"/>
        </w:rPr>
        <w:fldChar w:fldCharType="end"/>
      </w:r>
      <w:r w:rsidRPr="00EB3855">
        <w:rPr>
          <w:rFonts w:ascii="Gulliver" w:hAnsi="Gulliver"/>
          <w:sz w:val="20"/>
          <w:szCs w:val="20"/>
        </w:rPr>
        <w:t xml:space="preserve">. </w:t>
      </w:r>
      <w:r w:rsidR="00AB1C71">
        <w:rPr>
          <w:rFonts w:ascii="Gulliver" w:hAnsi="Gulliver"/>
          <w:sz w:val="20"/>
          <w:szCs w:val="20"/>
        </w:rPr>
        <w:fldChar w:fldCharType="begin" w:fldLock="1"/>
      </w:r>
      <w:r w:rsidR="00AB1C71">
        <w:rPr>
          <w:rFonts w:ascii="Gulliver" w:hAnsi="Gulliver"/>
          <w:sz w:val="20"/>
          <w:szCs w:val="20"/>
        </w:rPr>
        <w:instrText>ADDIN CSL_CITATION {"citationItems":[{"id":"ITEM-1","itemData":{"DOI":"https://doi.org/10.1016/j.eswa.2018.09.037","ISSN":"0957-4174","abstract":"Service quality is a multi-dimensional construct which is not accurately measured by aspects deriving from numerical ratings and their associated weights. Extant literature in the expert and intelligent systems examines this issue by relying mainly on such constrained information sets. In this study, we utilize online reviews to show the information gains from the consideration of factors identified from topic modeling of unstructured data which provide a flexible extension to numerical scores to understand customer satisfaction and subsequently service quality. When numerical and textual features are combined, the explained variation in overall satisfaction improves significantly. We further present how such information can be of value for firms for corporate strategy decision-making when incorporated in an expert system that acts as a tool to perform market analysis and assess their competitive performance. We apply our methodology on airline passengers</w:instrText>
      </w:r>
      <w:r w:rsidR="00AB1C71">
        <w:rPr>
          <w:rFonts w:ascii="Gulliver" w:hAnsi="Gulliver" w:hint="eastAsia"/>
          <w:sz w:val="20"/>
          <w:szCs w:val="20"/>
        </w:rPr>
        <w:instrText>’</w:instrText>
      </w:r>
      <w:r w:rsidR="00AB1C71">
        <w:rPr>
          <w:rFonts w:ascii="Gulliver" w:hAnsi="Gulliver"/>
          <w:sz w:val="20"/>
          <w:szCs w:val="20"/>
        </w:rPr>
        <w:instrText xml:space="preserve"> online reviews using Structural Topic Models (STM), a recent probabilistic extension to Latent Dirichlet Allocation (LDA) that allows the incorporation of document level covariates. This innovation allows us to capture dominant drivers of satisfaction along with their dynamics and interdependencies. Results unveil the orthogonality of the low-cost aspect of airline competition when all other service quality dimensions are considered, thus explaining the success of low-cost carriers in the airline market.","author":[{"dropping-particle":"","family":"Korfiatis","given":"Nikolaos","non-dropping-particle":"","parse-names":false,"suffix":""},{"dropping-particle":"","family":"Stamolampros","given":"Panagiotis","non-dropping-particle":"","parse-names":false,"suffix":""},{"dropping-particle":"","family":"Kourouthanassis","given":"Panos","non-dropping-particle":"","parse-names":false,"suffix":""},{"dropping-particle":"","family":"Sagiadinos","given":"Vasileios","non-dropping-particle":"","parse-names":false,"suffix":""}],"container-title":"Expert Systems with Applications","id":"ITEM-1","issued":{"date-parts":[["2019"]]},"page":"472-486","title":"Measuring service quality from unstructured data: A topic modeling application on airline passengers</w:instrText>
      </w:r>
      <w:r w:rsidR="00AB1C71">
        <w:rPr>
          <w:rFonts w:ascii="Gulliver" w:hAnsi="Gulliver" w:hint="eastAsia"/>
          <w:sz w:val="20"/>
          <w:szCs w:val="20"/>
        </w:rPr>
        <w:instrText>’</w:instrText>
      </w:r>
      <w:r w:rsidR="00AB1C71">
        <w:rPr>
          <w:rFonts w:ascii="Gulliver" w:hAnsi="Gulliver"/>
          <w:sz w:val="20"/>
          <w:szCs w:val="20"/>
        </w:rPr>
        <w:instrText xml:space="preserve"> online reviews","type":"article-journal","volume":"116"},"uris":["http://www.mendeley.com/documents/?uuid=566ec2d2-0a74-4424-9f20-3c0bb26e1c1a"]},{"id":"ITEM-2","itemData":{"DOI":"https://doi.org/10.1016/j.dss.2019.03.002","ISSN":"0167-9236","abstract":"The purpose of this study is to identify the customers' primary topics of concern regarding online retail brands that are shared among Twitter users. This study collects tweets associated with five leading UK online retailers covering the period from Black Friday to Christmas and New Year's sales. We use a combination of text analytical approaches including topic modelling, sentiment analysis, and network analysis to analyse the tweets. Through the analysis, we identify that delivery, product and customer service are among the most-discussed topics on Twitter. We also highlight the areas that receive the most negative customer sentiments such as delivery and customer service. Interestingly, we also identify emerging topics such as online engagement and in-store experience that are not captured by the existing literature on online retailing. Through a network analysis, we underscore the relationships among those important topics. This study derives insights on how well the leading online retail brands are performing and how their products and services are perceived by their customers. These insights can help businesses understand customers better and enable them to convert the information into meaningful knowledge to improve their business performance. The study offers a novel approach of transforming social media data into useful knowledge about online retailing. The incorporation of three analytical approaches offers insights for researchers to understand the hidden content behind the large collections of unstructured bodies of text, and this information can be used to improve online retailing services and reach out to customers.","author":[{"dropping-particle":"","family":"Ibrahim","given":"Noor Farizah","non-dropping-particle":"","parse-names":false,"suffix":""},{"dropping-particle":"","family":"Wang","given":"Xiaojun","non-dropping-particle":"","parse-names":false,"suffix":""}],"container-title":"Decision Support Systems","id":"ITEM-2","issued":{"date-parts":[["2019"]]},"page":"37-50","title":"A text analytics approach for online retailing service improvement: Evidence from Twitter","type":"article-journal","volume":"121"},"uris":["http://www.mendeley.com/documents/?uuid=28f4ab71-a950-4193-a738-598abcb74dd8"]}],"mendeley":{"formattedCitation":"(Ibrahim &amp; Wang, 2019; Korfiatis et al., 2019)","manualFormatting":"Ibrahim &amp; Wang (2019), Korfiatis et al. (2019)","plainTextFormattedCitation":"(Ibrahim &amp; Wang, 2019; Korfiatis et al., 2019)","previouslyFormattedCitation":"(Ibrahim &amp; Wang, 2019; Korfiatis et al., 2019)"},"properties":{"noteIndex":0},"schema":"https://github.com/citation-style-language/schema/raw/master/csl-citation.json"}</w:instrText>
      </w:r>
      <w:r w:rsidR="00AB1C71">
        <w:rPr>
          <w:rFonts w:ascii="Gulliver" w:hAnsi="Gulliver"/>
          <w:sz w:val="20"/>
          <w:szCs w:val="20"/>
        </w:rPr>
        <w:fldChar w:fldCharType="separate"/>
      </w:r>
      <w:r w:rsidR="00AB1C71" w:rsidRPr="00AB1C71">
        <w:rPr>
          <w:rFonts w:ascii="Gulliver" w:hAnsi="Gulliver"/>
          <w:noProof/>
          <w:sz w:val="20"/>
          <w:szCs w:val="20"/>
        </w:rPr>
        <w:t xml:space="preserve">Ibrahim &amp; Wang </w:t>
      </w:r>
      <w:r w:rsidR="00AB1C71">
        <w:rPr>
          <w:rFonts w:ascii="Gulliver" w:hAnsi="Gulliver"/>
          <w:noProof/>
          <w:sz w:val="20"/>
          <w:szCs w:val="20"/>
        </w:rPr>
        <w:t>(</w:t>
      </w:r>
      <w:r w:rsidR="00AB1C71" w:rsidRPr="00AB1C71">
        <w:rPr>
          <w:rFonts w:ascii="Gulliver" w:hAnsi="Gulliver"/>
          <w:noProof/>
          <w:sz w:val="20"/>
          <w:szCs w:val="20"/>
        </w:rPr>
        <w:t>2019</w:t>
      </w:r>
      <w:r w:rsidR="00AB1C71">
        <w:rPr>
          <w:rFonts w:ascii="Gulliver" w:hAnsi="Gulliver"/>
          <w:noProof/>
          <w:sz w:val="20"/>
          <w:szCs w:val="20"/>
        </w:rPr>
        <w:t>),</w:t>
      </w:r>
      <w:r w:rsidR="00AB1C71" w:rsidRPr="00AB1C71">
        <w:rPr>
          <w:rFonts w:ascii="Gulliver" w:hAnsi="Gulliver"/>
          <w:noProof/>
          <w:sz w:val="20"/>
          <w:szCs w:val="20"/>
        </w:rPr>
        <w:t xml:space="preserve"> Korfiatis et al. </w:t>
      </w:r>
      <w:r w:rsidR="00AB1C71">
        <w:rPr>
          <w:rFonts w:ascii="Gulliver" w:hAnsi="Gulliver"/>
          <w:noProof/>
          <w:sz w:val="20"/>
          <w:szCs w:val="20"/>
        </w:rPr>
        <w:t>(</w:t>
      </w:r>
      <w:r w:rsidR="00AB1C71" w:rsidRPr="00AB1C71">
        <w:rPr>
          <w:rFonts w:ascii="Gulliver" w:hAnsi="Gulliver"/>
          <w:noProof/>
          <w:sz w:val="20"/>
          <w:szCs w:val="20"/>
        </w:rPr>
        <w:t>2019)</w:t>
      </w:r>
      <w:r w:rsidR="00AB1C71">
        <w:rPr>
          <w:rFonts w:ascii="Gulliver" w:hAnsi="Gulliver"/>
          <w:sz w:val="20"/>
          <w:szCs w:val="20"/>
        </w:rPr>
        <w:fldChar w:fldCharType="end"/>
      </w:r>
      <w:r w:rsidRPr="00EB3855">
        <w:rPr>
          <w:rFonts w:ascii="Gulliver" w:hAnsi="Gulliver"/>
          <w:sz w:val="20"/>
          <w:szCs w:val="20"/>
        </w:rPr>
        <w:t xml:space="preserve"> employ topic </w:t>
      </w:r>
      <w:proofErr w:type="spellStart"/>
      <w:r w:rsidRPr="00EB3855">
        <w:rPr>
          <w:rFonts w:ascii="Gulliver" w:hAnsi="Gulliver"/>
          <w:sz w:val="20"/>
          <w:szCs w:val="20"/>
        </w:rPr>
        <w:t>modeling</w:t>
      </w:r>
      <w:proofErr w:type="spellEnd"/>
      <w:r w:rsidRPr="00EB3855">
        <w:rPr>
          <w:rFonts w:ascii="Gulliver" w:hAnsi="Gulliver"/>
          <w:sz w:val="20"/>
          <w:szCs w:val="20"/>
        </w:rPr>
        <w:t xml:space="preserve"> to derive actionable insights from online ratings, which are useful for product positioning. However, not every finding has been consistently positive. There are multiple works complaining that ensemble tree methods do not general well across heterogeneous consumer datasets and yields a biased prediction. Similarly, Liu et al. According to (2021), deep learning models were designed for image recognition tasks, but have been widely criticized in the areas of causal inference because they are prone to overfitting and lack transparency.</w:t>
      </w:r>
    </w:p>
    <w:p w14:paraId="69D40B4D" w14:textId="1F3A691E" w:rsidR="00FF0C2D" w:rsidRPr="00EB3855" w:rsidRDefault="00FF0C2D" w:rsidP="00FF0C2D">
      <w:pPr>
        <w:spacing w:after="0" w:line="271" w:lineRule="auto"/>
        <w:ind w:firstLine="284"/>
        <w:jc w:val="both"/>
        <w:rPr>
          <w:rFonts w:ascii="Gulliver" w:hAnsi="Gulliver"/>
          <w:sz w:val="20"/>
          <w:szCs w:val="20"/>
        </w:rPr>
      </w:pPr>
      <w:r w:rsidRPr="00EB3855">
        <w:rPr>
          <w:rFonts w:ascii="Gulliver" w:hAnsi="Gulliver"/>
          <w:sz w:val="20"/>
          <w:szCs w:val="20"/>
        </w:rPr>
        <w:t xml:space="preserve">On top of this, the use of AI in consumer-facing applications have raised ethical concerns. </w:t>
      </w:r>
      <w:r w:rsidR="00AB1C71">
        <w:rPr>
          <w:rFonts w:ascii="Gulliver" w:hAnsi="Gulliver"/>
          <w:sz w:val="20"/>
          <w:szCs w:val="20"/>
        </w:rPr>
        <w:fldChar w:fldCharType="begin" w:fldLock="1"/>
      </w:r>
      <w:r w:rsidR="00AB1C71">
        <w:rPr>
          <w:rFonts w:ascii="Gulliver" w:hAnsi="Gulliver"/>
          <w:sz w:val="20"/>
          <w:szCs w:val="20"/>
        </w:rPr>
        <w:instrText>ADDIN CSL_CITATION {"citationItems":[{"id":"ITEM-1","itemData":{"DOI":"https://doi.org/10.1016/j.eswa.2021.115546","ISSN":"0957-4174","abstract":"This paper presents a machine learning approach involving tourists</w:instrText>
      </w:r>
      <w:r w:rsidR="00AB1C71">
        <w:rPr>
          <w:rFonts w:ascii="Gulliver" w:hAnsi="Gulliver" w:hint="eastAsia"/>
          <w:sz w:val="20"/>
          <w:szCs w:val="20"/>
        </w:rPr>
        <w:instrText>’</w:instrText>
      </w:r>
      <w:r w:rsidR="00AB1C71">
        <w:rPr>
          <w:rFonts w:ascii="Gulliver" w:hAnsi="Gulliver"/>
          <w:sz w:val="20"/>
          <w:szCs w:val="20"/>
        </w:rPr>
        <w:instrText xml:space="preserve"> electronic word of mouth (eWOM) to support destination marketing campaigns. This approach enhances optimisation of a critical aspect of marketing campaigns, that is, the communication of the right content to the right consumers. The proposed method further considers aggregate cultural and economic-related information of the tourists</w:instrText>
      </w:r>
      <w:r w:rsidR="00AB1C71">
        <w:rPr>
          <w:rFonts w:ascii="Gulliver" w:hAnsi="Gulliver" w:hint="eastAsia"/>
          <w:sz w:val="20"/>
          <w:szCs w:val="20"/>
        </w:rPr>
        <w:instrText>’</w:instrText>
      </w:r>
      <w:r w:rsidR="00AB1C71">
        <w:rPr>
          <w:rFonts w:ascii="Gulliver" w:hAnsi="Gulliver"/>
          <w:sz w:val="20"/>
          <w:szCs w:val="20"/>
        </w:rPr>
        <w:instrText xml:space="preserve"> country of origin with topic modelling and Decision Tree (DT) models. Each DT addresses different dimensions of culture and purchasing power and the way these dimensions are associated with the topics discussed in eWOM, thus revealing patterns relating tourists</w:instrText>
      </w:r>
      <w:r w:rsidR="00AB1C71">
        <w:rPr>
          <w:rFonts w:ascii="Gulliver" w:hAnsi="Gulliver" w:hint="eastAsia"/>
          <w:sz w:val="20"/>
          <w:szCs w:val="20"/>
        </w:rPr>
        <w:instrText>’</w:instrText>
      </w:r>
      <w:r w:rsidR="00AB1C71">
        <w:rPr>
          <w:rFonts w:ascii="Gulliver" w:hAnsi="Gulliver"/>
          <w:sz w:val="20"/>
          <w:szCs w:val="20"/>
        </w:rPr>
        <w:instrText xml:space="preserve"> experiences with potential explanations for their dissatisfaction/satisfaction. The method is implemented in a case study in the context of tourism in Cyprus focusing on two hotel groups (2/3 and 4/5 stars) to account for their differences. Patterns emerged from the extraction of rules from DTs illuminate combinations of variables associated with tourist experience (negative or positive) for each of the two hotel categories and verify the asymmetric relationship between service performance and satisfaction. The approach can be used by management during marketing campaigns to design messages to better address the desires and needs of tourists from different cultural and economic backgrounds, as these emerge from the data analysis.","author":[{"dropping-particle":"","family":"Gregoriades","given":"Andreas","non-dropping-particle":"","parse-names":false,"suffix":""},{"dropping-particle":"","family":"Pampaka","given":"Maria","non-dropping-particle":"","parse-names":false,"suffix":""},{"dropping-particle":"","family":"Herodotou","given":"Herodotos","non-dropping-particle":"","parse-names":false,"suffix":""},{"dropping-particle":"","family":"Christodoulou","given":"Evripides","non-dropping-particle":"","parse-names":false,"suffix":""}],"container-title":"Expert Systems with Applications","id":"ITEM-1","issued":{"date-parts":[["2021"]]},"page":"115546","title":"Supporting digital content marketing and messaging through topic modelling and decision trees","type":"article-journal","volume":"184"},"uris":["http://www.mendeley.com/documents/?uuid=31f786b1-8d6d-4b0c-8fb9-386402298c6c"]},{"id":"ITEM-2","itemData":{"DOI":"https://doi.org/10.1016/j.jbusres.2020.08.024","ISSN":"0148-2963","abstract":"Products and services empowered by artificial intelligence (AI) are becoming widespread in today</w:instrText>
      </w:r>
      <w:r w:rsidR="00AB1C71">
        <w:rPr>
          <w:rFonts w:ascii="Gulliver" w:hAnsi="Gulliver" w:hint="eastAsia"/>
          <w:sz w:val="20"/>
          <w:szCs w:val="20"/>
        </w:rPr>
        <w:instrText>’</w:instrText>
      </w:r>
      <w:r w:rsidR="00AB1C71">
        <w:rPr>
          <w:rFonts w:ascii="Gulliver" w:hAnsi="Gulliver"/>
          <w:sz w:val="20"/>
          <w:szCs w:val="20"/>
        </w:rPr>
        <w:instrText>s marketplace. However, consumers have mixed feelings about AI technologies due to the numerous ethical challenges associated the development and deployment of AI. Drawing upon prior research on the moral significance of technology and the emerging literature on AI, we delineate three key dimensions of AI-enabled products (i.e., multi-functionality, interactivity, and AI intelligence stage) that have relevance for ethical implications and adopt a socio-technical approach to provide a multi-layered ethical analysis of AI products at the product-, consumer-, and society-levels. Some key ethical issues identified in the paper include AI biases, ethical design, consumer privacy, cybersecurity, individual autonomy and wellbeing, and unemployment. Companies need to engage in corporate social responsibility (CSR) to shape the future of ethical AI; drawing upon stakeholder theory and institutional theory, we develop a conceptual framework on AI-related CSR, highlighting the product-, company-, and institutional environment-specific factors that influence firms</w:instrText>
      </w:r>
      <w:r w:rsidR="00AB1C71">
        <w:rPr>
          <w:rFonts w:ascii="Gulliver" w:hAnsi="Gulliver" w:hint="eastAsia"/>
          <w:sz w:val="20"/>
          <w:szCs w:val="20"/>
        </w:rPr>
        <w:instrText>’</w:instrText>
      </w:r>
      <w:r w:rsidR="00AB1C71">
        <w:rPr>
          <w:rFonts w:ascii="Gulliver" w:hAnsi="Gulliver"/>
          <w:sz w:val="20"/>
          <w:szCs w:val="20"/>
        </w:rPr>
        <w:instrText xml:space="preserve"> socially responsible actions in the domain of AI and discussing the subsequent outcomes for firm, consumers, and the society. We include a section on future research agenda for AI ethics and firm CSR in this important domain.","author":[{"dropping-particle":"","family":"Du","given":"Shuili","non-dropping-particle":"","parse-names":false,"suffix":""},{"dropping-particle":"","family":"Xie","given":"Chunyan","non-dropping-particle":"","parse-names":false,"suffix":""}],"container-title":"Journal of Business Research","id":"ITEM-2","issued":{"date-parts":[["2021"]]},"page":"961-974","title":"Paradoxes of artificial intelligence in consumer markets: Ethical challenges and opportunities","type":"article-journal","volume":"129"},"uris":["http://www.mendeley.com/documents/?uuid=29bf6669-367e-4175-acdb-2cc55cefd063"]},{"id":"ITEM-3","itemData":{"DOI":"https://doi.org/10.1016/j.ijinfomgt.2021.102387","ISSN":"0268-4012","abstract":"Data-driven innovation (DDI) gains its prominence due to its potential to transform innovation in the age of AI. Digital giants Amazon, Alibaba, Google, Apple, and Facebook, enjoy sustainable competitive advantages from DDI. However, little is known about algorithmic biases that may present in the DDI process, and result in unjust, unfair, or prejudicial data product developments. Thus, this guest editorial aims to explore the sources of algorithmic biases across the DDI process using a systematic literature review, thematic analysis and a case study on the Robo-Debt scheme in Australia. The findings show that there are three major sources of algorithmic bias: data bias, method bias and societal bias. Theoretically, the findings of our study illuminate the role of the dynamic managerial capability to address various biases. Practically, we provide guidelines on addressing algorithmic biases focusing on data, method and managerial capabilities.","author":[{"dropping-particle":"","family":"Akter","given":"Shahriar","non-dropping-particle":"","parse-names":false,"suffix":""},{"dropping-particle":"","family":"McCarthy","given":"Grace","non-dropping-particle":"","parse-names":false,"suffix":""},{"dropping-particle":"","family":"Sajib","given":"Shahriar","non-dropping-particle":"","parse-names":false,"suffix":""},{"dropping-particle":"","family":"Michael","given":"Katina","non-dropping-particle":"","parse-names":false,"suffix":""},{"dropping-particle":"","family":"Dwivedi","given":"Yogesh K","non-dropping-particle":"","parse-names":false,"suffix":""},{"dropping-particle":"","family":"D</w:instrText>
      </w:r>
      <w:r w:rsidR="00AB1C71">
        <w:rPr>
          <w:rFonts w:ascii="Gulliver" w:hAnsi="Gulliver" w:hint="eastAsia"/>
          <w:sz w:val="20"/>
          <w:szCs w:val="20"/>
        </w:rPr>
        <w:instrText>’</w:instrText>
      </w:r>
      <w:r w:rsidR="00AB1C71">
        <w:rPr>
          <w:rFonts w:ascii="Gulliver" w:hAnsi="Gulliver"/>
          <w:sz w:val="20"/>
          <w:szCs w:val="20"/>
        </w:rPr>
        <w:instrText>Ambra","given":"John","non-dropping-particle":"","parse-names":false,"suffix":""},{"dropping-particle":"","family":"Shen","given":"K N","non-dropping-particle":"","parse-names":false,"suffix":""}],"container-title":"International Journal of Information Management","id":"ITEM-3","issued":{"date-parts":[["2021"]]},"page":"102387","title":"Algorithmic bias in data-driven innovation in the age of AI","type":"article-journal","volume":"60"},"uris":["http://www.mendeley.com/documents/?uuid=daa9539b-0524-4808-8d8c-0bb1897850bd"]}],"mendeley":{"formattedCitation":"(Akter et al., 2021; Du &amp; Xie, 2021; Gregoriades et al., 2021)","manualFormatting":"Akter et al. (2021), Du &amp; Xie (2021), Gregoriades et al. (2021)","plainTextFormattedCitation":"(Akter et al., 2021; Du &amp; Xie, 2021; Gregoriades et al., 2021)","previouslyFormattedCitation":"(Akter et al., 2021; Du &amp; Xie, 2021; Gregoriades et al., 2021)"},"properties":{"noteIndex":0},"schema":"https://github.com/citation-style-language/schema/raw/master/csl-citation.json"}</w:instrText>
      </w:r>
      <w:r w:rsidR="00AB1C71">
        <w:rPr>
          <w:rFonts w:ascii="Gulliver" w:hAnsi="Gulliver"/>
          <w:sz w:val="20"/>
          <w:szCs w:val="20"/>
        </w:rPr>
        <w:fldChar w:fldCharType="separate"/>
      </w:r>
      <w:r w:rsidR="00AB1C71" w:rsidRPr="00AB1C71">
        <w:rPr>
          <w:rFonts w:ascii="Gulliver" w:hAnsi="Gulliver"/>
          <w:noProof/>
          <w:sz w:val="20"/>
          <w:szCs w:val="20"/>
        </w:rPr>
        <w:t xml:space="preserve">Akter et al. </w:t>
      </w:r>
      <w:r w:rsidR="00AB1C71">
        <w:rPr>
          <w:rFonts w:ascii="Gulliver" w:hAnsi="Gulliver"/>
          <w:noProof/>
          <w:sz w:val="20"/>
          <w:szCs w:val="20"/>
        </w:rPr>
        <w:t>(</w:t>
      </w:r>
      <w:r w:rsidR="00AB1C71" w:rsidRPr="00AB1C71">
        <w:rPr>
          <w:rFonts w:ascii="Gulliver" w:hAnsi="Gulliver"/>
          <w:noProof/>
          <w:sz w:val="20"/>
          <w:szCs w:val="20"/>
        </w:rPr>
        <w:t>2021</w:t>
      </w:r>
      <w:r w:rsidR="00AB1C71">
        <w:rPr>
          <w:rFonts w:ascii="Gulliver" w:hAnsi="Gulliver"/>
          <w:noProof/>
          <w:sz w:val="20"/>
          <w:szCs w:val="20"/>
        </w:rPr>
        <w:t>),</w:t>
      </w:r>
      <w:r w:rsidR="00AB1C71" w:rsidRPr="00AB1C71">
        <w:rPr>
          <w:rFonts w:ascii="Gulliver" w:hAnsi="Gulliver"/>
          <w:noProof/>
          <w:sz w:val="20"/>
          <w:szCs w:val="20"/>
        </w:rPr>
        <w:t xml:space="preserve"> Du &amp; Xie </w:t>
      </w:r>
      <w:r w:rsidR="00AB1C71">
        <w:rPr>
          <w:rFonts w:ascii="Gulliver" w:hAnsi="Gulliver"/>
          <w:noProof/>
          <w:sz w:val="20"/>
          <w:szCs w:val="20"/>
        </w:rPr>
        <w:t>(</w:t>
      </w:r>
      <w:r w:rsidR="00AB1C71" w:rsidRPr="00AB1C71">
        <w:rPr>
          <w:rFonts w:ascii="Gulliver" w:hAnsi="Gulliver"/>
          <w:noProof/>
          <w:sz w:val="20"/>
          <w:szCs w:val="20"/>
        </w:rPr>
        <w:t>2021</w:t>
      </w:r>
      <w:r w:rsidR="00AB1C71">
        <w:rPr>
          <w:rFonts w:ascii="Gulliver" w:hAnsi="Gulliver"/>
          <w:noProof/>
          <w:sz w:val="20"/>
          <w:szCs w:val="20"/>
        </w:rPr>
        <w:t>),</w:t>
      </w:r>
      <w:r w:rsidR="00AB1C71" w:rsidRPr="00AB1C71">
        <w:rPr>
          <w:rFonts w:ascii="Gulliver" w:hAnsi="Gulliver"/>
          <w:noProof/>
          <w:sz w:val="20"/>
          <w:szCs w:val="20"/>
        </w:rPr>
        <w:t xml:space="preserve"> Gregoriades et al. </w:t>
      </w:r>
      <w:r w:rsidR="00AB1C71">
        <w:rPr>
          <w:rFonts w:ascii="Gulliver" w:hAnsi="Gulliver"/>
          <w:noProof/>
          <w:sz w:val="20"/>
          <w:szCs w:val="20"/>
        </w:rPr>
        <w:t>(</w:t>
      </w:r>
      <w:r w:rsidR="00AB1C71" w:rsidRPr="00AB1C71">
        <w:rPr>
          <w:rFonts w:ascii="Gulliver" w:hAnsi="Gulliver"/>
          <w:noProof/>
          <w:sz w:val="20"/>
          <w:szCs w:val="20"/>
        </w:rPr>
        <w:t>2021)</w:t>
      </w:r>
      <w:r w:rsidR="00AB1C71">
        <w:rPr>
          <w:rFonts w:ascii="Gulliver" w:hAnsi="Gulliver"/>
          <w:sz w:val="20"/>
          <w:szCs w:val="20"/>
        </w:rPr>
        <w:fldChar w:fldCharType="end"/>
      </w:r>
      <w:r w:rsidR="00AB1C71">
        <w:rPr>
          <w:rFonts w:ascii="Gulliver" w:hAnsi="Gulliver"/>
          <w:sz w:val="20"/>
          <w:szCs w:val="20"/>
        </w:rPr>
        <w:t xml:space="preserve">, </w:t>
      </w:r>
      <w:r w:rsidRPr="00EB3855">
        <w:rPr>
          <w:rFonts w:ascii="Gulliver" w:hAnsi="Gulliver"/>
          <w:sz w:val="20"/>
          <w:szCs w:val="20"/>
        </w:rPr>
        <w:t>even highlight how AI-based marketing tools may include algorithmically mapped out discriminatory behavio</w:t>
      </w:r>
      <w:r w:rsidR="00AA0346">
        <w:rPr>
          <w:rFonts w:ascii="Gulliver" w:hAnsi="Gulliver"/>
          <w:sz w:val="20"/>
          <w:szCs w:val="20"/>
        </w:rPr>
        <w:t>u</w:t>
      </w:r>
      <w:r w:rsidRPr="00EB3855">
        <w:rPr>
          <w:rFonts w:ascii="Gulliver" w:hAnsi="Gulliver"/>
          <w:sz w:val="20"/>
          <w:szCs w:val="20"/>
        </w:rPr>
        <w:t xml:space="preserve">r and are likely to cause consumer privacy breaches. Furthermore, according </w:t>
      </w:r>
      <w:r w:rsidR="00AB1C71">
        <w:rPr>
          <w:rFonts w:ascii="Gulliver" w:hAnsi="Gulliver"/>
          <w:sz w:val="20"/>
          <w:szCs w:val="20"/>
        </w:rPr>
        <w:fldChar w:fldCharType="begin" w:fldLock="1"/>
      </w:r>
      <w:r w:rsidR="00AA0346">
        <w:rPr>
          <w:rFonts w:ascii="Gulliver" w:hAnsi="Gulliver"/>
          <w:sz w:val="20"/>
          <w:szCs w:val="20"/>
        </w:rPr>
        <w:instrText xml:space="preserve">ADDIN CSL_CITATION {"citationItems":[{"id":"ITEM-1","itemData":{"DOI":"https://doi.org/10.1016/j.technovation.2022.102641","ISSN":"0166-4972","abstract":"Servitization has emerged as an important research topic in the fields of innovation and technology management that connects products and services with the purpose of enhancing competitive advantages of focal firms. The manifestation of servitization varies across industry sectors, as it began from the manufacturing industry with rapid expansion into the digital economy enabled by the advancement of digital technology. Servitization innovation denotes the innovative approaches by which servitization is organized from the organizational governance perspective. Despite the steady increase in scholarly attention and accumulated body of knowledge on servitization, it remains unclear what are the archetypes of servitization innovation and what are the differences between the actors, mechanisms and instruments for servitization innovation. This paper aims to synthesize the received wisdom and contemporary understandings on servitization innovation by undertaking a systematic literature review of the field. From the technology-oriented perspective, we articulate the characteristics of servitization innovation within a pure manufacturing context and a digital context by proposing a typology of servitization innovation, namely organic, relational, and system. We conclude this review by presenting future research directions to further develop servitization innovation, especially within the context of technological innovation.","author":[{"dropping-particle":"","family":"Xing","given":"Yijun","non-dropping-particle":"","parse-names":false,"suffix":""},{"dropping-particle":"","family":"Liu","given":"Yipeng","non-dropping-particle":"","parse-names":false,"suffix":""},{"dropping-particle":"","family":"Davies","given":"Philip","non-dropping-particle":"","parse-names":false,"suffix":""}],"container-title":"Technovation","id":"ITEM-1","issued":{"date-parts":[["2023"]]},"page":"102641","title":"Servitization innovation: A systematic review, integrative framework, and future research directions","type":"article-journal","volume":"122"},"uris":["http://www.mendeley.com/documents/?uuid=03f5fb07-c432-4ffe-8fc5-7d3145e41bd7"]},{"id":"ITEM-2","itemData":{"DOI":"https://doi.org/10.1016/j.indmarman.2020.02.012","ISSN":"0019-8501","abstract":"This paper addresses how servitization is facilitated by the adoption of digital technologies and presents a review of the literature on this subject. The paper aims to characterise the phenomenon of </w:instrText>
      </w:r>
      <w:r w:rsidR="00AA0346">
        <w:rPr>
          <w:rFonts w:ascii="Gulliver" w:hAnsi="Gulliver" w:hint="eastAsia"/>
          <w:sz w:val="20"/>
          <w:szCs w:val="20"/>
        </w:rPr>
        <w:instrText>‘</w:instrText>
      </w:r>
      <w:r w:rsidR="00AA0346">
        <w:rPr>
          <w:rFonts w:ascii="Gulliver" w:hAnsi="Gulliver"/>
          <w:sz w:val="20"/>
          <w:szCs w:val="20"/>
        </w:rPr>
        <w:instrText>digital servitization</w:instrText>
      </w:r>
      <w:r w:rsidR="00AA0346">
        <w:rPr>
          <w:rFonts w:ascii="Gulliver" w:hAnsi="Gulliver" w:hint="eastAsia"/>
          <w:sz w:val="20"/>
          <w:szCs w:val="20"/>
        </w:rPr>
        <w:instrText>’</w:instrText>
      </w:r>
      <w:r w:rsidR="00AA0346">
        <w:rPr>
          <w:rFonts w:ascii="Gulliver" w:hAnsi="Gulliver"/>
          <w:sz w:val="20"/>
          <w:szCs w:val="20"/>
        </w:rPr>
        <w:instrText xml:space="preserve"> by examining how the literature describes the convergence between servitization and digital technologies as well as to identify areas for future research developments. The systematic review of the available scientific literature revealed limited but rapidly growing coverage of the phenomenon by scientific studies, which have mainly focused on the role of a few digital technologies (above all, the Internet of Things), studied in isolation. The research has mainly adopted an empirical, case-based methodological approach, mostly investigating the industrial equipment, automotive, and IT industries and focusing on the role of digital technologies for the implementation of intermediate and advanced services. This picture calls for future research endeavours to extend the scope of investigation into digital servitization (regarding the technologies covered and their combinatory effect, the potential benefits, and the application domains) and to develop models and frameworks to support decision-making by practitioners.","author":[{"dropping-particle":"","family":"Paschou","given":"T","non-dropping-particle":"","parse-names":false,"suffix":""},{"dropping-particle":"","family":"Rapaccini","given":"M","non-dropping-particle":"","parse-names":false,"suffix":""},{"dropping-particle":"","family":"Adrodegari","given":"F","non-dropping-particle":"","parse-names":false,"suffix":""},{"dropping-particle":"","family":"Saccani","given":"N","non-dropping-particle":"","parse-names":false,"suffix":""}],"container-title":"Industrial Marketing Management","id":"ITEM-2","issued":{"date-parts":[["2020"]]},"page":"278-292","title":"Digital servitization in manufacturing: A systematic literature review and research agenda","type":"article-journal","volume":"89"},"uris":["http://www.mendeley.com/documents/?uuid=b1d8f71f-5ac1-4036-95f4-8f56f7c7b518"]}],"mendeley":{"formattedCitation":"(Paschou et al., 2020; Xing et al., 2023)","manualFormatting":"Paschou et al. (2020), Xing et al. (2023)","plainTextFormattedCitation":"(Paschou et al., 2020; Xing et al., 2023)","previouslyFormattedCitation":"(Paschou et al., 2020; Xing et al., 2023)"},"properties":{"noteIndex":0},"schema":"https://github.com/citation-style-language/schema/raw/master/csl-citation.json"}</w:instrText>
      </w:r>
      <w:r w:rsidR="00AB1C71">
        <w:rPr>
          <w:rFonts w:ascii="Gulliver" w:hAnsi="Gulliver"/>
          <w:sz w:val="20"/>
          <w:szCs w:val="20"/>
        </w:rPr>
        <w:fldChar w:fldCharType="separate"/>
      </w:r>
      <w:r w:rsidR="00AB1C71" w:rsidRPr="00AB1C71">
        <w:rPr>
          <w:rFonts w:ascii="Gulliver" w:hAnsi="Gulliver"/>
          <w:noProof/>
          <w:sz w:val="20"/>
          <w:szCs w:val="20"/>
        </w:rPr>
        <w:t xml:space="preserve">Paschou et al. </w:t>
      </w:r>
      <w:r w:rsidR="00AB1C71">
        <w:rPr>
          <w:rFonts w:ascii="Gulliver" w:hAnsi="Gulliver"/>
          <w:noProof/>
          <w:sz w:val="20"/>
          <w:szCs w:val="20"/>
        </w:rPr>
        <w:t>(</w:t>
      </w:r>
      <w:r w:rsidR="00AB1C71" w:rsidRPr="00AB1C71">
        <w:rPr>
          <w:rFonts w:ascii="Gulliver" w:hAnsi="Gulliver"/>
          <w:noProof/>
          <w:sz w:val="20"/>
          <w:szCs w:val="20"/>
        </w:rPr>
        <w:t>2020</w:t>
      </w:r>
      <w:r w:rsidR="00AB1C71">
        <w:rPr>
          <w:rFonts w:ascii="Gulliver" w:hAnsi="Gulliver"/>
          <w:noProof/>
          <w:sz w:val="20"/>
          <w:szCs w:val="20"/>
        </w:rPr>
        <w:t>),</w:t>
      </w:r>
      <w:r w:rsidR="00AB1C71" w:rsidRPr="00AB1C71">
        <w:rPr>
          <w:rFonts w:ascii="Gulliver" w:hAnsi="Gulliver"/>
          <w:noProof/>
          <w:sz w:val="20"/>
          <w:szCs w:val="20"/>
        </w:rPr>
        <w:t xml:space="preserve"> Xing et al. </w:t>
      </w:r>
      <w:r w:rsidR="00AB1C71">
        <w:rPr>
          <w:rFonts w:ascii="Gulliver" w:hAnsi="Gulliver"/>
          <w:noProof/>
          <w:sz w:val="20"/>
          <w:szCs w:val="20"/>
        </w:rPr>
        <w:t>(</w:t>
      </w:r>
      <w:r w:rsidR="00AB1C71" w:rsidRPr="00AB1C71">
        <w:rPr>
          <w:rFonts w:ascii="Gulliver" w:hAnsi="Gulliver"/>
          <w:noProof/>
          <w:sz w:val="20"/>
          <w:szCs w:val="20"/>
        </w:rPr>
        <w:t>2023)</w:t>
      </w:r>
      <w:r w:rsidR="00AB1C71">
        <w:rPr>
          <w:rFonts w:ascii="Gulliver" w:hAnsi="Gulliver"/>
          <w:sz w:val="20"/>
          <w:szCs w:val="20"/>
        </w:rPr>
        <w:fldChar w:fldCharType="end"/>
      </w:r>
      <w:r w:rsidRPr="00EB3855">
        <w:rPr>
          <w:rFonts w:ascii="Gulliver" w:hAnsi="Gulliver"/>
          <w:sz w:val="20"/>
          <w:szCs w:val="20"/>
        </w:rPr>
        <w:t xml:space="preserve"> the current body of literature is fragmented</w:t>
      </w:r>
      <w:r w:rsidR="00AB1C71">
        <w:rPr>
          <w:rFonts w:ascii="Gulliver" w:hAnsi="Gulliver"/>
          <w:sz w:val="20"/>
          <w:szCs w:val="20"/>
        </w:rPr>
        <w:t>,</w:t>
      </w:r>
      <w:r w:rsidRPr="00EB3855">
        <w:rPr>
          <w:rFonts w:ascii="Gulliver" w:hAnsi="Gulliver"/>
          <w:sz w:val="20"/>
          <w:szCs w:val="20"/>
        </w:rPr>
        <w:t xml:space="preserve"> hindering the development of developing a coherent framework for ML applications in marketing. Yet through it all, the transformative power of AI cannot be denied. Recent works </w:t>
      </w:r>
      <w:r w:rsidR="00AA0346">
        <w:rPr>
          <w:rFonts w:ascii="Gulliver" w:hAnsi="Gulliver"/>
          <w:sz w:val="20"/>
          <w:szCs w:val="20"/>
        </w:rPr>
        <w:fldChar w:fldCharType="begin" w:fldLock="1"/>
      </w:r>
      <w:r w:rsidR="00AA0346">
        <w:rPr>
          <w:rFonts w:ascii="Gulliver" w:hAnsi="Gulliver"/>
          <w:sz w:val="20"/>
          <w:szCs w:val="20"/>
        </w:rPr>
        <w:instrText>ADDIN CSL_CITATION {"citationItems":[{"id":"ITEM-1","itemData":{"DOI":"https://doi.org/10.1016/j.jbusres.2020.09.068","ISSN":"0148-2963","abstract":"The current expansion of theory and research on artificial intelligence in management and organization studies has revitalized the theory and research on decision-making in organizations. In particular, recent advances in deep learning (DL) algorithms promise benefits for decision-making within organizations, such as assisting employees with information processing, thereby augment their analytical capabilities and perhaps help their transition to more creative work. We conceptualize the decision-making process in organizations augmented with DL algorithm outcomes (such as predictions or robust patterns from unstructured data) as deep learning</w:instrText>
      </w:r>
      <w:r w:rsidR="00AA0346">
        <w:rPr>
          <w:rFonts w:ascii="Gulliver" w:hAnsi="Gulliver" w:hint="eastAsia"/>
          <w:sz w:val="20"/>
          <w:szCs w:val="20"/>
        </w:rPr>
        <w:instrText>–</w:instrText>
      </w:r>
      <w:r w:rsidR="00AA0346">
        <w:rPr>
          <w:rFonts w:ascii="Gulliver" w:hAnsi="Gulliver"/>
          <w:sz w:val="20"/>
          <w:szCs w:val="20"/>
        </w:rPr>
        <w:instrText>augmented decision-making (DLADM). We contribute to the understanding and application of DL for decision-making in organizations by (a) providing an accessible tutorial on DL algorithms and (b) illustrating DLADM with two case studies drawing on image recognition and sentiment analysis tasks performed on datasets from Zalando, a European e-commerce firm, and Rotten Tomatoes, a review aggregation website for movies, respectively. Finally, promises and challenges of DLADM as well as recommendations for managers in attending to these challenges are also discussed.","author":[{"dropping-particle":"","family":"Shrestha","given":"Yash Raj","non-dropping-particle":"","parse-names":false,"suffix":""},{"dropping-particle":"","family":"Krishna","given":"Vaibhav","non-dropping-particle":"","parse-names":false,"suffix":""},{"dropping-particle":"","family":"Krogh","given":"Georg","non-dropping-particle":"von","parse-names":false,"suffix":""}],"container-title":"Journal of Business Research","id":"ITEM-1","issued":{"date-parts":[["2021"]]},"page":"588-603","title":"Augmenting organizational decision-making with deep learning algorithms: Principles, promises, and challenges","type":"article-journal","volume":"123"},"uris":["http://www.mendeley.com/documents/?uuid=b99f747e-08e7-4260-908a-72994f39c331"]},{"id":"ITEM-2","itemData":{"DOI":"https://doi.org/10.1016/j.cosrev.2021.100395","ISSN":"1574-0137","abstract":"Social Media (SM) are the most widespread and rapid data generation applications on the Internet increase the study of these data. However, the efficient processing of such massive data is challenging, so we require a system that learns from these data, like machine learning. Machine learning methods make the systems to learn itself. Many papers are published on SM using machine learning approaches over the past few decades. In this paper, we provide a comprehensive survey of multiple applications of SM analysis using robust machine learning algorithms. Initially, we discuss a summary of machine learning algorithms, which are used in SM analysis. After that, we provide a detailed survey of machine learning approaches to SM analysis. Furthermore, we summarize the challenges and benefits of Machine Learning usages in SM analysis. Finally, we presented open issues and consequences in SM analysis for further research.","author":[{"dropping-particle":"","family":"T.K.","given":"Balaji","non-dropping-particle":"","parse-names":false,"suffix":""},{"dropping-particle":"","family":"Annavarapu","given":"Chandra Sekhara Rao","non-dropping-particle":"","parse-names":false,"suffix":""},{"dropping-particle":"","family":"Bablani","given":"Annushree","non-dropping-particle":"","parse-names":false,"suffix":""}],"container-title":"Computer Science Review","id":"ITEM-2","issued":{"date-parts":[["2021"]]},"page":"100395","title":"Machine learning algorithms for social media analysis: A survey","type":"article-journal","volume":"40"},"uris":["http://www.mendeley.com/documents/?uuid=72a379a5-1f9a-494a-9851-fa19076f8996"]}],"mendeley":{"formattedCitation":"(Shrestha et al., 2021; T.K. et al., 2021)","manualFormatting":"Shrestha et al. (2021), T.K. et al. (2021)","plainTextFormattedCitation":"(Shrestha et al., 2021; T.K. et al., 2021)","previouslyFormattedCitation":"(Shrestha et al., 2021)"},"properties":{"noteIndex":0},"schema":"https://github.com/citation-style-language/schema/raw/master/csl-citation.json"}</w:instrText>
      </w:r>
      <w:r w:rsidR="00AA0346">
        <w:rPr>
          <w:rFonts w:ascii="Gulliver" w:hAnsi="Gulliver"/>
          <w:sz w:val="20"/>
          <w:szCs w:val="20"/>
        </w:rPr>
        <w:fldChar w:fldCharType="separate"/>
      </w:r>
      <w:r w:rsidR="00AA0346" w:rsidRPr="00AA0346">
        <w:rPr>
          <w:rFonts w:ascii="Gulliver" w:hAnsi="Gulliver"/>
          <w:noProof/>
          <w:sz w:val="20"/>
          <w:szCs w:val="20"/>
        </w:rPr>
        <w:t xml:space="preserve">Shrestha et al. </w:t>
      </w:r>
      <w:r w:rsidR="00AA0346">
        <w:rPr>
          <w:rFonts w:ascii="Gulliver" w:hAnsi="Gulliver"/>
          <w:noProof/>
          <w:sz w:val="20"/>
          <w:szCs w:val="20"/>
        </w:rPr>
        <w:t>(</w:t>
      </w:r>
      <w:r w:rsidR="00AA0346" w:rsidRPr="00AA0346">
        <w:rPr>
          <w:rFonts w:ascii="Gulliver" w:hAnsi="Gulliver"/>
          <w:noProof/>
          <w:sz w:val="20"/>
          <w:szCs w:val="20"/>
        </w:rPr>
        <w:t>2021</w:t>
      </w:r>
      <w:r w:rsidR="00AA0346">
        <w:rPr>
          <w:rFonts w:ascii="Gulliver" w:hAnsi="Gulliver"/>
          <w:noProof/>
          <w:sz w:val="20"/>
          <w:szCs w:val="20"/>
        </w:rPr>
        <w:t>),</w:t>
      </w:r>
      <w:r w:rsidR="00AA0346" w:rsidRPr="00AA0346">
        <w:rPr>
          <w:rFonts w:ascii="Gulliver" w:hAnsi="Gulliver"/>
          <w:noProof/>
          <w:sz w:val="20"/>
          <w:szCs w:val="20"/>
        </w:rPr>
        <w:t xml:space="preserve"> T.K. et al. </w:t>
      </w:r>
      <w:r w:rsidR="00AA0346">
        <w:rPr>
          <w:rFonts w:ascii="Gulliver" w:hAnsi="Gulliver"/>
          <w:noProof/>
          <w:sz w:val="20"/>
          <w:szCs w:val="20"/>
        </w:rPr>
        <w:t>(</w:t>
      </w:r>
      <w:r w:rsidR="00AA0346" w:rsidRPr="00AA0346">
        <w:rPr>
          <w:rFonts w:ascii="Gulliver" w:hAnsi="Gulliver"/>
          <w:noProof/>
          <w:sz w:val="20"/>
          <w:szCs w:val="20"/>
        </w:rPr>
        <w:t>2021)</w:t>
      </w:r>
      <w:r w:rsidR="00AA0346">
        <w:rPr>
          <w:rFonts w:ascii="Gulliver" w:hAnsi="Gulliver"/>
          <w:sz w:val="20"/>
          <w:szCs w:val="20"/>
        </w:rPr>
        <w:fldChar w:fldCharType="end"/>
      </w:r>
      <w:r w:rsidRPr="00EB3855">
        <w:rPr>
          <w:rFonts w:ascii="Gulliver" w:hAnsi="Gulliver"/>
          <w:sz w:val="20"/>
          <w:szCs w:val="20"/>
        </w:rPr>
        <w:t>, call for novel approaches such as reinforcement learning and neural network embedding that could be applied to mapping customer journeys, which seem to open up interesting avenues to explore. This research is novel because it addresses these gaps by proposing a unified framework that reconciles: AI and ML methods with marketing theories. This framework emphasizes causal interpretation and prescriptive analytics as much as prediction and feature extraction. This research is expected to solve the limitations of the previous studies to align ML capabilities with the core objectives in marketing to facilitate more efficient as well as an ethical approach to embracing AI applications in marketing.</w:t>
      </w:r>
    </w:p>
    <w:p w14:paraId="76F06A90" w14:textId="34FB9830" w:rsidR="00FF0C2D" w:rsidRPr="00EC126C" w:rsidRDefault="00FF0C2D" w:rsidP="00FF0C2D">
      <w:pPr>
        <w:spacing w:after="0" w:line="271" w:lineRule="auto"/>
        <w:ind w:firstLine="284"/>
        <w:jc w:val="both"/>
        <w:rPr>
          <w:rFonts w:ascii="Gulliver" w:hAnsi="Gulliver"/>
        </w:rPr>
      </w:pPr>
      <w:r w:rsidRPr="00EB3855">
        <w:rPr>
          <w:rFonts w:ascii="Gulliver" w:hAnsi="Gulliver"/>
          <w:sz w:val="20"/>
          <w:szCs w:val="20"/>
        </w:rPr>
        <w:t xml:space="preserve">The main purpose of this research is to navigate through the technological transformations brought into the marketing practices and research methodologies through Artificial Intelligence (AI) and Machine Learning (ML). This research particularly seeks to evaluate the role of ML methods to enhance prediction accuracy, derive actionable insight from unstructured and tracking data, and facilitate transparent descriptive, causal and prescriptive analytics in marketing. Furthermore, this research aims to assess the synergy between AI-driven models and human insights in complementing marketing theory and practice while overcoming interpretability </w:t>
      </w:r>
      <w:r w:rsidRPr="00EB3855">
        <w:rPr>
          <w:rFonts w:ascii="Gulliver" w:hAnsi="Gulliver"/>
          <w:sz w:val="20"/>
          <w:szCs w:val="20"/>
        </w:rPr>
        <w:t>challenges. It further examines the use of ML for mapping customer journeys, optimizing decision-support systems, presenting a comprehensive framework that could integrate AI innovations into strategic marketing decisions. Thus, by achieving these goals, this study aims to fill the gap in both theory and practice of AI in marketing to assure that the advanced computational tools will be used more effectively and accountably.</w:t>
      </w:r>
    </w:p>
    <w:p w14:paraId="16911C0B" w14:textId="2CEE70F3" w:rsidR="00E605C5" w:rsidRDefault="00E605C5" w:rsidP="005A2456">
      <w:pPr>
        <w:pStyle w:val="ListParagraph"/>
        <w:numPr>
          <w:ilvl w:val="0"/>
          <w:numId w:val="2"/>
        </w:numPr>
        <w:spacing w:before="240" w:line="480" w:lineRule="auto"/>
        <w:ind w:left="284" w:hanging="284"/>
        <w:rPr>
          <w:rFonts w:ascii="Gulliver" w:hAnsi="Gulliver"/>
          <w:b/>
          <w:bCs/>
        </w:rPr>
      </w:pPr>
      <w:r w:rsidRPr="00E605C5">
        <w:rPr>
          <w:rFonts w:ascii="Gulliver" w:hAnsi="Gulliver"/>
          <w:b/>
          <w:bCs/>
        </w:rPr>
        <w:t>Theoretical framework and development</w:t>
      </w:r>
    </w:p>
    <w:p w14:paraId="526FEC53" w14:textId="70FF20C4" w:rsidR="00E605C5" w:rsidRPr="00FF0C2D" w:rsidRDefault="00EC126C" w:rsidP="00FF0C2D">
      <w:pPr>
        <w:pStyle w:val="ListParagraph"/>
        <w:numPr>
          <w:ilvl w:val="1"/>
          <w:numId w:val="2"/>
        </w:numPr>
        <w:spacing w:after="120" w:line="271" w:lineRule="auto"/>
        <w:ind w:left="284" w:hanging="284"/>
        <w:rPr>
          <w:rFonts w:ascii="Gulliver" w:hAnsi="Gulliver"/>
          <w:i/>
          <w:iCs/>
          <w:sz w:val="20"/>
          <w:szCs w:val="20"/>
        </w:rPr>
      </w:pPr>
      <w:r w:rsidRPr="00FF0C2D">
        <w:rPr>
          <w:rFonts w:ascii="Gulliver" w:hAnsi="Gulliver"/>
          <w:i/>
          <w:iCs/>
          <w:sz w:val="20"/>
          <w:szCs w:val="20"/>
        </w:rPr>
        <w:t>Theoretical research</w:t>
      </w:r>
    </w:p>
    <w:p w14:paraId="5D561442" w14:textId="3FB13DE1" w:rsidR="005A2456" w:rsidRPr="005A2456" w:rsidRDefault="00FF0C2D" w:rsidP="00FF0C2D">
      <w:pPr>
        <w:spacing w:before="240"/>
        <w:ind w:firstLine="284"/>
        <w:jc w:val="both"/>
        <w:rPr>
          <w:rFonts w:ascii="Gulliver" w:hAnsi="Gulliver"/>
          <w:sz w:val="20"/>
          <w:szCs w:val="20"/>
        </w:rPr>
      </w:pPr>
      <w:r w:rsidRPr="00FF0C2D">
        <w:rPr>
          <w:rFonts w:ascii="Gulliver" w:hAnsi="Gulliver"/>
          <w:sz w:val="20"/>
          <w:szCs w:val="20"/>
        </w:rPr>
        <w:t xml:space="preserve">This research is based on a realignment of theories related to artificial intelligence (AI), machine learning (ML), and marketing. The new publication, which is the first in a series, is set to navigate readers through the important lessons from marketing theory about how to engage with consumers from the perspectives of their </w:t>
      </w:r>
      <w:r w:rsidR="00AA0346">
        <w:rPr>
          <w:rFonts w:ascii="Gulliver" w:hAnsi="Gulliver"/>
          <w:sz w:val="20"/>
          <w:szCs w:val="20"/>
        </w:rPr>
        <w:t>behaviour</w:t>
      </w:r>
      <w:r w:rsidRPr="00FF0C2D">
        <w:rPr>
          <w:rFonts w:ascii="Gulliver" w:hAnsi="Gulliver"/>
          <w:sz w:val="20"/>
          <w:szCs w:val="20"/>
        </w:rPr>
        <w:t xml:space="preserve">, decision-making processes and market dynamics. Strategic role of AI and </w:t>
      </w:r>
      <w:proofErr w:type="spellStart"/>
      <w:r w:rsidRPr="00FF0C2D">
        <w:rPr>
          <w:rFonts w:ascii="Gulliver" w:hAnsi="Gulliver"/>
          <w:sz w:val="20"/>
          <w:szCs w:val="20"/>
        </w:rPr>
        <w:t>MLTowards</w:t>
      </w:r>
      <w:proofErr w:type="spellEnd"/>
      <w:r w:rsidRPr="00FF0C2D">
        <w:rPr>
          <w:rFonts w:ascii="Gulliver" w:hAnsi="Gulliver"/>
          <w:sz w:val="20"/>
          <w:szCs w:val="20"/>
        </w:rPr>
        <w:t xml:space="preserve"> this, patient and trial data can be complex and voluminous ranging from dozens to hundreds of data points across hundreds of trials. ML, by learning through experience, improves performance by iteratively building on previous decisions, which makes it well-suited for constantly evolving marketing environments (Mitchell, 1997). Similarly, Goodfellow et al. 2016) explain that deep learning, a subset of ML, is appropriate to use, as it can model complex nonlinear relationships, hence allowing for improved segmentation and targeting of consumers.</w:t>
      </w:r>
      <w:r>
        <w:rPr>
          <w:rFonts w:ascii="Gulliver" w:hAnsi="Gulliver"/>
          <w:sz w:val="20"/>
          <w:szCs w:val="20"/>
        </w:rPr>
        <w:t xml:space="preserve"> </w:t>
      </w:r>
      <w:r w:rsidRPr="00FF0C2D">
        <w:rPr>
          <w:rFonts w:ascii="Gulliver" w:hAnsi="Gulliver"/>
          <w:sz w:val="20"/>
          <w:szCs w:val="20"/>
        </w:rPr>
        <w:t xml:space="preserve">Additionally, machine learning platforms such as reinforcement learning (Sutton, 2018) have been employed in the field of services to learn and customize consumer </w:t>
      </w:r>
      <w:r w:rsidR="00AA0346">
        <w:rPr>
          <w:rFonts w:ascii="Gulliver" w:hAnsi="Gulliver"/>
          <w:sz w:val="20"/>
          <w:szCs w:val="20"/>
        </w:rPr>
        <w:t>behaviour</w:t>
      </w:r>
      <w:r w:rsidRPr="00FF0C2D">
        <w:rPr>
          <w:rFonts w:ascii="Gulliver" w:hAnsi="Gulliver"/>
          <w:sz w:val="20"/>
          <w:szCs w:val="20"/>
        </w:rPr>
        <w:t xml:space="preserve"> through time for the optimization of customer service. According to Rust and Huang (2021), integrating these computational models with traditional marketing theories will be essential for theoretical relevance and practical applicability. Examples of this integration have been provided as follows: </w:t>
      </w:r>
      <w:proofErr w:type="spellStart"/>
      <w:r w:rsidRPr="00FF0C2D">
        <w:rPr>
          <w:rFonts w:ascii="Gulliver" w:hAnsi="Gulliver"/>
          <w:sz w:val="20"/>
          <w:szCs w:val="20"/>
        </w:rPr>
        <w:t>Yoganarasimhan</w:t>
      </w:r>
      <w:proofErr w:type="spellEnd"/>
      <w:r w:rsidRPr="00FF0C2D">
        <w:rPr>
          <w:rFonts w:ascii="Gulliver" w:hAnsi="Gulliver"/>
          <w:sz w:val="20"/>
          <w:szCs w:val="20"/>
        </w:rPr>
        <w:t xml:space="preserve"> (2020) predicts marketing strategies with the help of ML models, </w:t>
      </w:r>
      <w:proofErr w:type="spellStart"/>
      <w:r w:rsidRPr="00FF0C2D">
        <w:rPr>
          <w:rFonts w:ascii="Gulliver" w:hAnsi="Gulliver"/>
          <w:sz w:val="20"/>
          <w:szCs w:val="20"/>
        </w:rPr>
        <w:t>Athey</w:t>
      </w:r>
      <w:proofErr w:type="spellEnd"/>
      <w:r w:rsidRPr="00FF0C2D">
        <w:rPr>
          <w:rFonts w:ascii="Gulliver" w:hAnsi="Gulliver"/>
          <w:sz w:val="20"/>
          <w:szCs w:val="20"/>
        </w:rPr>
        <w:t xml:space="preserve"> et al. (2019) tries to show how AI methods can be used for causal inference. These breakthroughs indicate that AI and ML can capture and address descriptive and prescriptive challenges in marketing and provide the groundwork for formulating new theories.</w:t>
      </w:r>
    </w:p>
    <w:p w14:paraId="229963BB" w14:textId="4CC140DD" w:rsidR="005A2456" w:rsidRPr="00E75CF1" w:rsidRDefault="009D6E52" w:rsidP="00EB3855">
      <w:pPr>
        <w:pStyle w:val="ListParagraph"/>
        <w:numPr>
          <w:ilvl w:val="1"/>
          <w:numId w:val="2"/>
        </w:numPr>
        <w:spacing w:before="100" w:beforeAutospacing="1" w:after="120" w:line="271" w:lineRule="auto"/>
        <w:ind w:left="284" w:hanging="284"/>
        <w:contextualSpacing w:val="0"/>
        <w:rPr>
          <w:rFonts w:ascii="Gulliver" w:hAnsi="Gulliver"/>
          <w:i/>
          <w:iCs/>
          <w:sz w:val="20"/>
          <w:szCs w:val="20"/>
        </w:rPr>
      </w:pPr>
      <w:r w:rsidRPr="009D6E52">
        <w:rPr>
          <w:rFonts w:ascii="Gulliver" w:hAnsi="Gulliver"/>
          <w:i/>
          <w:iCs/>
          <w:sz w:val="20"/>
          <w:szCs w:val="20"/>
        </w:rPr>
        <w:t>Impact of machine learning on market research prediction accuracy</w:t>
      </w:r>
    </w:p>
    <w:p w14:paraId="2375BEF9" w14:textId="731A23CA" w:rsidR="00EC126C" w:rsidRDefault="00FF0C2D" w:rsidP="00AA0346">
      <w:pPr>
        <w:ind w:firstLine="284"/>
        <w:jc w:val="both"/>
        <w:rPr>
          <w:rFonts w:ascii="Gulliver" w:hAnsi="Gulliver"/>
          <w:sz w:val="20"/>
          <w:szCs w:val="20"/>
        </w:rPr>
      </w:pPr>
      <w:r w:rsidRPr="00FF0C2D">
        <w:rPr>
          <w:rFonts w:ascii="Gulliver" w:hAnsi="Gulliver"/>
          <w:sz w:val="20"/>
          <w:szCs w:val="20"/>
        </w:rPr>
        <w:t xml:space="preserve">Machine learning methods have the potential to increase prediction accuracy in marketing research by utilizing large volumes of data to detect features and </w:t>
      </w:r>
      <w:r w:rsidRPr="00FF0C2D">
        <w:rPr>
          <w:rFonts w:ascii="Gulliver" w:hAnsi="Gulliver"/>
          <w:sz w:val="20"/>
          <w:szCs w:val="20"/>
        </w:rPr>
        <w:lastRenderedPageBreak/>
        <w:t>trends. ML algorithms can effectively process big data and high-dimensional data, providing unique advantages in dynamic marketing environments, unlike traditional statistical techniques. Cui and Curry (2019) show, for instance, that ML models yield better predictive performance than traditional techniques when it comes to predicting consumer purchasing behavio</w:t>
      </w:r>
      <w:r w:rsidR="00835D5E">
        <w:rPr>
          <w:rFonts w:ascii="Gulliver" w:hAnsi="Gulliver"/>
          <w:sz w:val="20"/>
          <w:szCs w:val="20"/>
        </w:rPr>
        <w:t>ur</w:t>
      </w:r>
      <w:r w:rsidRPr="00FF0C2D">
        <w:rPr>
          <w:rFonts w:ascii="Gulliver" w:hAnsi="Gulliver"/>
          <w:sz w:val="20"/>
          <w:szCs w:val="20"/>
        </w:rPr>
        <w:t xml:space="preserve">. </w:t>
      </w:r>
      <w:proofErr w:type="spellStart"/>
      <w:r w:rsidRPr="00FF0C2D">
        <w:rPr>
          <w:rFonts w:ascii="Gulliver" w:hAnsi="Gulliver"/>
          <w:sz w:val="20"/>
          <w:szCs w:val="20"/>
        </w:rPr>
        <w:t>Yoganarasimhan</w:t>
      </w:r>
      <w:proofErr w:type="spellEnd"/>
      <w:r w:rsidRPr="00FF0C2D">
        <w:rPr>
          <w:rFonts w:ascii="Gulliver" w:hAnsi="Gulliver"/>
          <w:sz w:val="20"/>
          <w:szCs w:val="20"/>
        </w:rPr>
        <w:t xml:space="preserve"> (2020) also supports this notion, suggesting that ensemble learning methods produce higher accuracy for marketing mix optimization. Additionally, Zhang et al. (2022) explore the significance feature selection in ML models, as this helps in decreasing noise and boosting predictive performance. As described by Liu et al., neural networks (2021) </w:t>
      </w:r>
      <w:proofErr w:type="gramStart"/>
      <w:r w:rsidRPr="00FF0C2D">
        <w:rPr>
          <w:rFonts w:ascii="Gulliver" w:hAnsi="Gulliver"/>
          <w:sz w:val="20"/>
          <w:szCs w:val="20"/>
        </w:rPr>
        <w:t>has</w:t>
      </w:r>
      <w:proofErr w:type="gramEnd"/>
      <w:r w:rsidRPr="00FF0C2D">
        <w:rPr>
          <w:rFonts w:ascii="Gulliver" w:hAnsi="Gulliver"/>
          <w:sz w:val="20"/>
          <w:szCs w:val="20"/>
        </w:rPr>
        <w:t xml:space="preserve"> demonstrated unprecedented promise across various applications ranging from demand forecasting (Endo et al. Yet, interpretability and manipulability of ML predictions still pose challenges for marketing practitioners. Rust and Huang (2021) suggest a hybrid approach where ML methods are integrated with domain specific marketing theories to improve the predictive robustness and relevance. Hence, the empirical evidence supports the hypothesis that ML methods will lead to a significant increase in prediction accuracy in marketing research, highlighting their transformative nature.</w:t>
      </w:r>
    </w:p>
    <w:p w14:paraId="186DEE77" w14:textId="54FA5AAF" w:rsidR="005A2456" w:rsidRPr="005A2456" w:rsidRDefault="00E75CF1" w:rsidP="00DC663C">
      <w:pPr>
        <w:jc w:val="both"/>
        <w:rPr>
          <w:rFonts w:ascii="Gulliver" w:hAnsi="Gulliver"/>
          <w:sz w:val="20"/>
          <w:szCs w:val="20"/>
        </w:rPr>
      </w:pPr>
      <w:r w:rsidRPr="00E75CF1">
        <w:rPr>
          <w:rFonts w:ascii="Gulliver" w:hAnsi="Gulliver"/>
          <w:sz w:val="20"/>
          <w:szCs w:val="20"/>
        </w:rPr>
        <w:t xml:space="preserve">H1: </w:t>
      </w:r>
      <w:r w:rsidR="006A5350" w:rsidRPr="006A5350">
        <w:rPr>
          <w:rFonts w:ascii="Gulliver" w:hAnsi="Gulliver"/>
          <w:sz w:val="20"/>
          <w:szCs w:val="20"/>
        </w:rPr>
        <w:t>Machine Learning Methods Improve Prediction Accuracy in Marketing Research</w:t>
      </w:r>
      <w:r w:rsidRPr="00E75CF1">
        <w:rPr>
          <w:rFonts w:ascii="Gulliver" w:hAnsi="Gulliver"/>
          <w:sz w:val="20"/>
          <w:szCs w:val="20"/>
        </w:rPr>
        <w:t>.</w:t>
      </w:r>
    </w:p>
    <w:p w14:paraId="1F72066C" w14:textId="1806937A" w:rsidR="005A2456" w:rsidRPr="00E75CF1" w:rsidRDefault="009D6E52" w:rsidP="005A2456">
      <w:pPr>
        <w:pStyle w:val="ListParagraph"/>
        <w:numPr>
          <w:ilvl w:val="1"/>
          <w:numId w:val="2"/>
        </w:numPr>
        <w:spacing w:before="240"/>
        <w:ind w:left="284" w:hanging="284"/>
        <w:rPr>
          <w:rFonts w:ascii="Gulliver" w:hAnsi="Gulliver"/>
          <w:i/>
          <w:iCs/>
          <w:sz w:val="20"/>
          <w:szCs w:val="20"/>
        </w:rPr>
      </w:pPr>
      <w:r w:rsidRPr="009D6E52">
        <w:rPr>
          <w:rFonts w:ascii="Gulliver" w:hAnsi="Gulliver"/>
          <w:i/>
          <w:iCs/>
          <w:sz w:val="20"/>
          <w:szCs w:val="20"/>
        </w:rPr>
        <w:t>Machine learning's impact on unstructured insights and tracking</w:t>
      </w:r>
    </w:p>
    <w:p w14:paraId="768BA687" w14:textId="43AB5D41" w:rsidR="00FF0C2D" w:rsidRDefault="00FF0C2D" w:rsidP="00AA0346">
      <w:pPr>
        <w:spacing w:after="120" w:line="271" w:lineRule="auto"/>
        <w:ind w:firstLine="284"/>
        <w:jc w:val="both"/>
        <w:rPr>
          <w:rFonts w:ascii="Gulliver" w:hAnsi="Gulliver"/>
          <w:sz w:val="20"/>
          <w:szCs w:val="20"/>
        </w:rPr>
      </w:pPr>
      <w:r w:rsidRPr="00FF0C2D">
        <w:rPr>
          <w:rFonts w:ascii="Gulliver" w:hAnsi="Gulliver"/>
          <w:sz w:val="20"/>
          <w:szCs w:val="20"/>
        </w:rPr>
        <w:t xml:space="preserve">Machine learning has been able to mine unstructured data in a way to read trends or sentiments in social media posts, customer reviews, and multimedia content. Contrary to structured data, unstructured data is complicated and demanding sophisticated algorithms to unravel. Latent Dirichlet Allocation (LDA) and similar topic </w:t>
      </w:r>
      <w:proofErr w:type="spellStart"/>
      <w:r w:rsidRPr="00FF0C2D">
        <w:rPr>
          <w:rFonts w:ascii="Gulliver" w:hAnsi="Gulliver"/>
          <w:sz w:val="20"/>
          <w:szCs w:val="20"/>
        </w:rPr>
        <w:t>modeling</w:t>
      </w:r>
      <w:proofErr w:type="spellEnd"/>
      <w:r w:rsidRPr="00FF0C2D">
        <w:rPr>
          <w:rFonts w:ascii="Gulliver" w:hAnsi="Gulliver"/>
          <w:sz w:val="20"/>
          <w:szCs w:val="20"/>
        </w:rPr>
        <w:t xml:space="preserve"> methods have frequently been utilized to make sense of text data and to detect the sentiment of customers and new trends (</w:t>
      </w:r>
      <w:proofErr w:type="spellStart"/>
      <w:r w:rsidRPr="00FF0C2D">
        <w:rPr>
          <w:rFonts w:ascii="Gulliver" w:hAnsi="Gulliver"/>
          <w:sz w:val="20"/>
          <w:szCs w:val="20"/>
        </w:rPr>
        <w:t>Tirunillai</w:t>
      </w:r>
      <w:proofErr w:type="spellEnd"/>
      <w:r w:rsidRPr="00FF0C2D">
        <w:rPr>
          <w:rFonts w:ascii="Gulliver" w:hAnsi="Gulliver"/>
          <w:sz w:val="20"/>
          <w:szCs w:val="20"/>
        </w:rPr>
        <w:t xml:space="preserve"> &amp; </w:t>
      </w:r>
      <w:proofErr w:type="spellStart"/>
      <w:r w:rsidRPr="00FF0C2D">
        <w:rPr>
          <w:rFonts w:ascii="Gulliver" w:hAnsi="Gulliver"/>
          <w:sz w:val="20"/>
          <w:szCs w:val="20"/>
        </w:rPr>
        <w:t>Tellis</w:t>
      </w:r>
      <w:proofErr w:type="spellEnd"/>
      <w:r w:rsidRPr="00FF0C2D">
        <w:rPr>
          <w:rFonts w:ascii="Gulliver" w:hAnsi="Gulliver"/>
          <w:sz w:val="20"/>
          <w:szCs w:val="20"/>
        </w:rPr>
        <w:t xml:space="preserve">, 2020). In a similar vein, computer vision models such as convolutional neural networks (CNNs) have been used for branding and advertisement strategies such as image and video analysis (Goodfellow et al., 2016). Tracking data (predominantly generated from web cookies and IoT devices) offers valuable insights into consumers’ </w:t>
      </w:r>
      <w:r w:rsidR="00AA0346">
        <w:rPr>
          <w:rFonts w:ascii="Gulliver" w:hAnsi="Gulliver"/>
          <w:sz w:val="20"/>
          <w:szCs w:val="20"/>
        </w:rPr>
        <w:t>behaviour</w:t>
      </w:r>
      <w:r w:rsidRPr="00FF0C2D">
        <w:rPr>
          <w:rFonts w:ascii="Gulliver" w:hAnsi="Gulliver"/>
          <w:sz w:val="20"/>
          <w:szCs w:val="20"/>
        </w:rPr>
        <w:t xml:space="preserve">s. Reinforcement learning models are specifically adept in this area, enabling companies to tailor user experiences by adjusting marketing strategies in real-time according to user feedback (Sutton &amp; </w:t>
      </w:r>
      <w:proofErr w:type="spellStart"/>
      <w:r w:rsidRPr="00FF0C2D">
        <w:rPr>
          <w:rFonts w:ascii="Gulliver" w:hAnsi="Gulliver"/>
          <w:sz w:val="20"/>
          <w:szCs w:val="20"/>
        </w:rPr>
        <w:t>Barto</w:t>
      </w:r>
      <w:proofErr w:type="spellEnd"/>
      <w:r w:rsidRPr="00FF0C2D">
        <w:rPr>
          <w:rFonts w:ascii="Gulliver" w:hAnsi="Gulliver"/>
          <w:sz w:val="20"/>
          <w:szCs w:val="20"/>
        </w:rPr>
        <w:t xml:space="preserve">, 2018). However, Zhang et al. (2022) warn that biases can arise during data </w:t>
      </w:r>
      <w:proofErr w:type="spellStart"/>
      <w:r w:rsidRPr="00FF0C2D">
        <w:rPr>
          <w:rFonts w:ascii="Gulliver" w:hAnsi="Gulliver"/>
          <w:sz w:val="20"/>
          <w:szCs w:val="20"/>
        </w:rPr>
        <w:t>preprocessing</w:t>
      </w:r>
      <w:proofErr w:type="spellEnd"/>
      <w:r w:rsidRPr="00FF0C2D">
        <w:rPr>
          <w:rFonts w:ascii="Gulliver" w:hAnsi="Gulliver"/>
          <w:sz w:val="20"/>
          <w:szCs w:val="20"/>
        </w:rPr>
        <w:t xml:space="preserve"> and algorithm training, causing biased </w:t>
      </w:r>
      <w:r w:rsidRPr="00FF0C2D">
        <w:rPr>
          <w:rFonts w:ascii="Gulliver" w:hAnsi="Gulliver"/>
          <w:sz w:val="20"/>
          <w:szCs w:val="20"/>
        </w:rPr>
        <w:t xml:space="preserve">insights. Harnessing the capacity of ML to better </w:t>
      </w:r>
      <w:proofErr w:type="spellStart"/>
      <w:r w:rsidRPr="00FF0C2D">
        <w:rPr>
          <w:rFonts w:ascii="Gulliver" w:hAnsi="Gulliver"/>
          <w:sz w:val="20"/>
          <w:szCs w:val="20"/>
        </w:rPr>
        <w:t>analyze</w:t>
      </w:r>
      <w:proofErr w:type="spellEnd"/>
      <w:r w:rsidRPr="00FF0C2D">
        <w:rPr>
          <w:rFonts w:ascii="Gulliver" w:hAnsi="Gulliver"/>
          <w:sz w:val="20"/>
          <w:szCs w:val="20"/>
        </w:rPr>
        <w:t xml:space="preserve"> complicated datasets and provide forecasting insights can help firms gain much better insight of customer behavio</w:t>
      </w:r>
      <w:r w:rsidR="00835D5E">
        <w:rPr>
          <w:rFonts w:ascii="Gulliver" w:hAnsi="Gulliver"/>
          <w:sz w:val="20"/>
          <w:szCs w:val="20"/>
        </w:rPr>
        <w:t>u</w:t>
      </w:r>
      <w:r w:rsidRPr="00FF0C2D">
        <w:rPr>
          <w:rFonts w:ascii="Gulliver" w:hAnsi="Gulliver"/>
          <w:sz w:val="20"/>
          <w:szCs w:val="20"/>
        </w:rPr>
        <w:t>r, thereby supporting the hypothesis of higher insights from unstructured data and tracking (IIMA Herman Miller 2023).</w:t>
      </w:r>
    </w:p>
    <w:p w14:paraId="43324221" w14:textId="41FBDE4A" w:rsidR="005A2456" w:rsidRPr="005A2456" w:rsidRDefault="006A5350" w:rsidP="00DC663C">
      <w:pPr>
        <w:jc w:val="both"/>
        <w:rPr>
          <w:rFonts w:ascii="Gulliver" w:hAnsi="Gulliver"/>
          <w:sz w:val="20"/>
          <w:szCs w:val="20"/>
        </w:rPr>
      </w:pPr>
      <w:r w:rsidRPr="006A5350">
        <w:rPr>
          <w:rFonts w:ascii="Gulliver" w:hAnsi="Gulliver"/>
          <w:sz w:val="20"/>
          <w:szCs w:val="20"/>
        </w:rPr>
        <w:t>H2: Machine Learning Improves Insights from Unstructured Data and Tracking</w:t>
      </w:r>
    </w:p>
    <w:p w14:paraId="1B6950AC" w14:textId="21F8DC50" w:rsidR="005A2456" w:rsidRPr="00FF0C2D" w:rsidRDefault="009D6E52" w:rsidP="00DC663C">
      <w:pPr>
        <w:pStyle w:val="ListParagraph"/>
        <w:numPr>
          <w:ilvl w:val="1"/>
          <w:numId w:val="2"/>
        </w:numPr>
        <w:spacing w:before="240"/>
        <w:ind w:left="284" w:hanging="284"/>
        <w:jc w:val="both"/>
        <w:rPr>
          <w:rFonts w:ascii="Gulliver" w:hAnsi="Gulliver"/>
          <w:i/>
          <w:iCs/>
          <w:sz w:val="20"/>
          <w:szCs w:val="20"/>
        </w:rPr>
      </w:pPr>
      <w:r w:rsidRPr="009D6E52">
        <w:rPr>
          <w:rFonts w:ascii="Gulliver" w:hAnsi="Gulliver"/>
          <w:i/>
          <w:iCs/>
          <w:sz w:val="20"/>
          <w:szCs w:val="20"/>
        </w:rPr>
        <w:t>The implications of AI-driven marketing for transparent descriptive, causal and prescriptive analysis</w:t>
      </w:r>
    </w:p>
    <w:p w14:paraId="7FF5EEBA" w14:textId="754F539F" w:rsidR="00FF0C2D" w:rsidRDefault="00FF0C2D" w:rsidP="00835D5E">
      <w:pPr>
        <w:spacing w:before="120" w:after="120" w:line="271" w:lineRule="auto"/>
        <w:ind w:firstLine="284"/>
        <w:jc w:val="both"/>
        <w:rPr>
          <w:rFonts w:ascii="Gulliver" w:hAnsi="Gulliver"/>
          <w:sz w:val="20"/>
          <w:szCs w:val="20"/>
        </w:rPr>
      </w:pPr>
      <w:r w:rsidRPr="00FF0C2D">
        <w:rPr>
          <w:rFonts w:ascii="Gulliver" w:hAnsi="Gulliver"/>
          <w:sz w:val="20"/>
          <w:szCs w:val="20"/>
        </w:rPr>
        <w:t>It allows more transparent descriptive, causal, and prescriptive analyses in marketing analytics as AI makes itself embedded with Marketing strategies. Descriptive analytics summarizes historical data; ML methods such as clustering, principal component analysis (PCA) have been incredibly capable of market segmentation and latent variable identification (Gupta et al., 2023). More advanced methods have been used in the context of causal analysis, such as causal inference algorithms, which allow for improved insights into relationships between marketing interventions and outcomes, yielding more accurate characterizations of cause-and-effect dynamics (</w:t>
      </w:r>
      <w:proofErr w:type="spellStart"/>
      <w:r w:rsidRPr="00FF0C2D">
        <w:rPr>
          <w:rFonts w:ascii="Gulliver" w:hAnsi="Gulliver"/>
          <w:sz w:val="20"/>
          <w:szCs w:val="20"/>
        </w:rPr>
        <w:t>Athey</w:t>
      </w:r>
      <w:proofErr w:type="spellEnd"/>
      <w:r w:rsidRPr="00FF0C2D">
        <w:rPr>
          <w:rFonts w:ascii="Gulliver" w:hAnsi="Gulliver"/>
          <w:sz w:val="20"/>
          <w:szCs w:val="20"/>
        </w:rPr>
        <w:t xml:space="preserve"> &amp; </w:t>
      </w:r>
      <w:proofErr w:type="spellStart"/>
      <w:r w:rsidRPr="00FF0C2D">
        <w:rPr>
          <w:rFonts w:ascii="Gulliver" w:hAnsi="Gulliver"/>
          <w:sz w:val="20"/>
          <w:szCs w:val="20"/>
        </w:rPr>
        <w:t>Imbens</w:t>
      </w:r>
      <w:proofErr w:type="spellEnd"/>
      <w:r w:rsidRPr="00FF0C2D">
        <w:rPr>
          <w:rFonts w:ascii="Gulliver" w:hAnsi="Gulliver"/>
          <w:sz w:val="20"/>
          <w:szCs w:val="20"/>
        </w:rPr>
        <w:t>, 2019).</w:t>
      </w:r>
      <w:r>
        <w:rPr>
          <w:rFonts w:ascii="Gulliver" w:hAnsi="Gulliver"/>
          <w:sz w:val="20"/>
          <w:szCs w:val="20"/>
        </w:rPr>
        <w:t xml:space="preserve"> </w:t>
      </w:r>
      <w:r w:rsidRPr="00FF0C2D">
        <w:rPr>
          <w:rFonts w:ascii="Gulliver" w:hAnsi="Gulliver"/>
          <w:sz w:val="20"/>
          <w:szCs w:val="20"/>
        </w:rPr>
        <w:t>Reinforcement learning algorithms have greatly benefited prescriptive analytics (for example, recommending optimal actions) and elements of reinforcement learning algorithms have played a role in their success. This is because many of these algorithms create dynamically changing recommendations based into evolving consumer preferences (</w:t>
      </w:r>
      <w:proofErr w:type="spellStart"/>
      <w:r w:rsidRPr="00FF0C2D">
        <w:rPr>
          <w:rFonts w:ascii="Gulliver" w:hAnsi="Gulliver"/>
          <w:sz w:val="20"/>
          <w:szCs w:val="20"/>
        </w:rPr>
        <w:t>Yoganarasimhan</w:t>
      </w:r>
      <w:proofErr w:type="spellEnd"/>
      <w:r w:rsidRPr="00FF0C2D">
        <w:rPr>
          <w:rFonts w:ascii="Gulliver" w:hAnsi="Gulliver"/>
          <w:sz w:val="20"/>
          <w:szCs w:val="20"/>
        </w:rPr>
        <w:t>, 2020). Nevertheless, many AI models are notoriously opaque, a susceptibility known as the "black-box problem," fostering barriers to transparency and accountability (</w:t>
      </w:r>
      <w:proofErr w:type="spellStart"/>
      <w:r w:rsidRPr="00FF0C2D">
        <w:rPr>
          <w:rFonts w:ascii="Gulliver" w:hAnsi="Gulliver"/>
          <w:sz w:val="20"/>
          <w:szCs w:val="20"/>
        </w:rPr>
        <w:t>Ghassemi</w:t>
      </w:r>
      <w:proofErr w:type="spellEnd"/>
      <w:r w:rsidRPr="00FF0C2D">
        <w:rPr>
          <w:rFonts w:ascii="Gulliver" w:hAnsi="Gulliver"/>
          <w:sz w:val="20"/>
          <w:szCs w:val="20"/>
        </w:rPr>
        <w:t xml:space="preserve"> et al., 2021). Declarative can help explain a wider range of data science models and implementation stacks, and so contribute to grow the link between AI technical capabilities and why they have been developed. AI-driven marketing models do support transparent descriptive, causal, and prescriptive analytics as hypothesized.</w:t>
      </w:r>
    </w:p>
    <w:p w14:paraId="528CEF89" w14:textId="544BEDFD" w:rsidR="005A2456" w:rsidRPr="005A2456" w:rsidRDefault="00E75CF1" w:rsidP="00DC663C">
      <w:pPr>
        <w:spacing w:before="120" w:after="100" w:afterAutospacing="1" w:line="271" w:lineRule="auto"/>
        <w:jc w:val="both"/>
        <w:rPr>
          <w:rFonts w:ascii="Gulliver" w:hAnsi="Gulliver"/>
          <w:sz w:val="20"/>
          <w:szCs w:val="20"/>
        </w:rPr>
      </w:pPr>
      <w:r w:rsidRPr="00E75CF1">
        <w:rPr>
          <w:rFonts w:ascii="Gulliver" w:hAnsi="Gulliver"/>
          <w:sz w:val="20"/>
          <w:szCs w:val="20"/>
        </w:rPr>
        <w:t xml:space="preserve">H3: </w:t>
      </w:r>
      <w:r w:rsidR="006A5350" w:rsidRPr="006A5350">
        <w:rPr>
          <w:rFonts w:ascii="Gulliver" w:hAnsi="Gulliver"/>
          <w:sz w:val="20"/>
          <w:szCs w:val="20"/>
        </w:rPr>
        <w:t>AI-Based Marketing Models Support Transparent Descriptive, Causal, and Prescriptive Analytics</w:t>
      </w:r>
      <w:r w:rsidRPr="00E75CF1">
        <w:rPr>
          <w:rFonts w:ascii="Gulliver" w:hAnsi="Gulliver"/>
          <w:sz w:val="20"/>
          <w:szCs w:val="20"/>
        </w:rPr>
        <w:t>.</w:t>
      </w:r>
    </w:p>
    <w:p w14:paraId="612A6463" w14:textId="5859DA9A" w:rsidR="005A2456" w:rsidRPr="00E75CF1" w:rsidRDefault="009D6E52" w:rsidP="005A2456">
      <w:pPr>
        <w:pStyle w:val="ListParagraph"/>
        <w:numPr>
          <w:ilvl w:val="1"/>
          <w:numId w:val="2"/>
        </w:numPr>
        <w:spacing w:before="240"/>
        <w:ind w:left="284" w:hanging="284"/>
        <w:rPr>
          <w:rFonts w:ascii="Gulliver" w:hAnsi="Gulliver"/>
          <w:i/>
          <w:iCs/>
          <w:sz w:val="18"/>
          <w:szCs w:val="18"/>
        </w:rPr>
      </w:pPr>
      <w:r w:rsidRPr="009D6E52">
        <w:rPr>
          <w:rFonts w:ascii="Gulliver" w:hAnsi="Gulliver"/>
          <w:i/>
          <w:iCs/>
          <w:sz w:val="20"/>
          <w:szCs w:val="20"/>
        </w:rPr>
        <w:t>Influence of the integration of human insights with AI on marketing theory and practice</w:t>
      </w:r>
    </w:p>
    <w:p w14:paraId="4DCC64A5" w14:textId="574DB8A7" w:rsidR="00FF0C2D" w:rsidRDefault="009D6E52" w:rsidP="00835D5E">
      <w:pPr>
        <w:spacing w:after="120" w:line="271" w:lineRule="auto"/>
        <w:ind w:firstLine="284"/>
        <w:jc w:val="both"/>
        <w:rPr>
          <w:rFonts w:ascii="Gulliver" w:hAnsi="Gulliver"/>
          <w:sz w:val="20"/>
          <w:szCs w:val="20"/>
        </w:rPr>
      </w:pPr>
      <w:r w:rsidRPr="009D6E52">
        <w:rPr>
          <w:rFonts w:ascii="Gulliver" w:hAnsi="Gulliver"/>
          <w:sz w:val="20"/>
          <w:szCs w:val="20"/>
        </w:rPr>
        <w:t xml:space="preserve">Human insights doled over the top of AI systems extends the usability of machine learning to the marketing area, aligning computational strength with business goals. The human factor is vital to verifying model results and for the ethical application of AI. According to Rust and Huang </w:t>
      </w:r>
      <w:r w:rsidRPr="009D6E52">
        <w:rPr>
          <w:rFonts w:ascii="Gulliver" w:hAnsi="Gulliver"/>
          <w:sz w:val="20"/>
          <w:szCs w:val="20"/>
        </w:rPr>
        <w:lastRenderedPageBreak/>
        <w:t>(2021), merging human intelligence with AI-generated insights leads to better marketing design strategies tailored to meet organizational objectives. Van Der Aalst et al. (2021) suggest that human insights enhance AI models’ interpretability, especially in transparency-sensitive environments. And in such partnerships, findings can be translated into marketing theory and can serve as a bridged between the classical models of marketing and the data driven approach of marketing (</w:t>
      </w:r>
      <w:proofErr w:type="spellStart"/>
      <w:r w:rsidRPr="009D6E52">
        <w:rPr>
          <w:rFonts w:ascii="Gulliver" w:hAnsi="Gulliver"/>
          <w:sz w:val="20"/>
          <w:szCs w:val="20"/>
        </w:rPr>
        <w:t>Binns</w:t>
      </w:r>
      <w:proofErr w:type="spellEnd"/>
      <w:r w:rsidRPr="009D6E52">
        <w:rPr>
          <w:rFonts w:ascii="Gulliver" w:hAnsi="Gulliver"/>
          <w:sz w:val="20"/>
          <w:szCs w:val="20"/>
        </w:rPr>
        <w:t xml:space="preserve"> et al., 2021). Researchers can use qualitative insights to build quantitative models based on sales data, encompassing the technical and </w:t>
      </w:r>
      <w:r w:rsidR="00AA0346">
        <w:rPr>
          <w:rFonts w:ascii="Gulliver" w:hAnsi="Gulliver"/>
          <w:sz w:val="20"/>
          <w:szCs w:val="20"/>
        </w:rPr>
        <w:t>behaviour</w:t>
      </w:r>
      <w:r w:rsidRPr="009D6E52">
        <w:rPr>
          <w:rFonts w:ascii="Gulliver" w:hAnsi="Gulliver"/>
          <w:sz w:val="20"/>
          <w:szCs w:val="20"/>
        </w:rPr>
        <w:t>al aspects of marketing. This synergy confirms the theory of the combination of human insights and AI power resulting in new theory and practice in marketing which leads to more effective decision making with responsibility</w:t>
      </w:r>
      <w:r w:rsidR="00FF0C2D" w:rsidRPr="00FF0C2D">
        <w:rPr>
          <w:rFonts w:ascii="Gulliver" w:hAnsi="Gulliver"/>
          <w:sz w:val="20"/>
          <w:szCs w:val="20"/>
        </w:rPr>
        <w:t>.</w:t>
      </w:r>
    </w:p>
    <w:p w14:paraId="73EA56A7" w14:textId="554832A9" w:rsidR="005A2456" w:rsidRDefault="00E75CF1" w:rsidP="00DC663C">
      <w:pPr>
        <w:jc w:val="both"/>
        <w:rPr>
          <w:rFonts w:ascii="Gulliver" w:hAnsi="Gulliver"/>
          <w:sz w:val="20"/>
          <w:szCs w:val="20"/>
        </w:rPr>
      </w:pPr>
      <w:r w:rsidRPr="00E75CF1">
        <w:rPr>
          <w:rFonts w:ascii="Gulliver" w:hAnsi="Gulliver"/>
          <w:sz w:val="20"/>
          <w:szCs w:val="20"/>
        </w:rPr>
        <w:t xml:space="preserve">H4: </w:t>
      </w:r>
      <w:r w:rsidR="00EC126C" w:rsidRPr="00EC126C">
        <w:rPr>
          <w:rFonts w:ascii="Gulliver" w:hAnsi="Gulliver"/>
          <w:sz w:val="20"/>
          <w:szCs w:val="20"/>
        </w:rPr>
        <w:t>Integrating Human Insights with AI Improves Marketing Theory and Practice</w:t>
      </w:r>
    </w:p>
    <w:p w14:paraId="70EAB81A" w14:textId="676D9E03" w:rsidR="00EC126C" w:rsidRPr="009D6E52" w:rsidRDefault="009D6E52" w:rsidP="00EC126C">
      <w:pPr>
        <w:pStyle w:val="ListParagraph"/>
        <w:numPr>
          <w:ilvl w:val="1"/>
          <w:numId w:val="2"/>
        </w:numPr>
        <w:spacing w:before="240"/>
        <w:ind w:left="284" w:hanging="284"/>
        <w:rPr>
          <w:rFonts w:ascii="Gulliver" w:hAnsi="Gulliver"/>
          <w:i/>
          <w:iCs/>
          <w:sz w:val="20"/>
          <w:szCs w:val="20"/>
        </w:rPr>
      </w:pPr>
      <w:r w:rsidRPr="009D6E52">
        <w:rPr>
          <w:rFonts w:ascii="Gulliver" w:hAnsi="Gulliver"/>
          <w:i/>
          <w:iCs/>
          <w:sz w:val="20"/>
          <w:szCs w:val="20"/>
        </w:rPr>
        <w:t>Machine learning influences mapping for more effective customer journeys and decision support</w:t>
      </w:r>
    </w:p>
    <w:p w14:paraId="356F7168" w14:textId="7BC0186F" w:rsidR="00FF0C2D" w:rsidRDefault="009D6E52" w:rsidP="00835D5E">
      <w:pPr>
        <w:ind w:firstLine="284"/>
        <w:jc w:val="both"/>
        <w:rPr>
          <w:rFonts w:ascii="Gulliver" w:hAnsi="Gulliver"/>
          <w:sz w:val="20"/>
          <w:szCs w:val="20"/>
        </w:rPr>
      </w:pPr>
      <w:r w:rsidRPr="009D6E52">
        <w:rPr>
          <w:rFonts w:ascii="Gulliver" w:hAnsi="Gulliver"/>
          <w:sz w:val="20"/>
          <w:szCs w:val="20"/>
        </w:rPr>
        <w:t xml:space="preserve">Through the real time analysis of data from dynamic and multi-channel consumer interactions machine learning has transformed the field of customer journey mapping and decision support. Companies can use predictive analytics through ML models to predict their customers' needs and offer personalized experiences increasing satisfaction and retention (Zhang et al., 2022). In particular, reinforcement learning has played a crucial role when it comes to optimizing customer touch points along the customer journey to ensure timely and relevant engagement (Sutton &amp; </w:t>
      </w:r>
      <w:proofErr w:type="spellStart"/>
      <w:r w:rsidRPr="009D6E52">
        <w:rPr>
          <w:rFonts w:ascii="Gulliver" w:hAnsi="Gulliver"/>
          <w:sz w:val="20"/>
          <w:szCs w:val="20"/>
        </w:rPr>
        <w:t>Barto</w:t>
      </w:r>
      <w:proofErr w:type="spellEnd"/>
      <w:r w:rsidRPr="009D6E52">
        <w:rPr>
          <w:rFonts w:ascii="Gulliver" w:hAnsi="Gulliver"/>
          <w:sz w:val="20"/>
          <w:szCs w:val="20"/>
        </w:rPr>
        <w:t>, 2018). Further, network data analysis techniques have been employed to visualize connections and pinpoint key influencers for digital marketing techniques (Liu et al., 2021) However, difficulties related to cross-platform integration and data silos still represent non-negligible barriers (Gupta et al., 2023). These challenges address more coverage on the role of ML in decision support, affirming the belief that machine learning actually enables better customer journey mapping and decision making.</w:t>
      </w:r>
    </w:p>
    <w:p w14:paraId="3D03ACD6" w14:textId="033578FF" w:rsidR="00EC126C" w:rsidRPr="00EC126C" w:rsidRDefault="00EC126C" w:rsidP="00DC663C">
      <w:pPr>
        <w:jc w:val="both"/>
        <w:rPr>
          <w:rFonts w:ascii="Gulliver" w:hAnsi="Gulliver"/>
          <w:sz w:val="20"/>
          <w:szCs w:val="20"/>
        </w:rPr>
      </w:pPr>
      <w:r w:rsidRPr="00EC126C">
        <w:rPr>
          <w:rFonts w:ascii="Gulliver" w:hAnsi="Gulliver"/>
          <w:sz w:val="20"/>
          <w:szCs w:val="20"/>
        </w:rPr>
        <w:t>H5: Machine Learning Drives More Effective Customer Journey Mapping and Decision Support</w:t>
      </w:r>
    </w:p>
    <w:p w14:paraId="07CF1B47" w14:textId="59C099F6" w:rsidR="00E605C5" w:rsidRDefault="009D6E52" w:rsidP="009D6E52">
      <w:pPr>
        <w:pStyle w:val="ListParagraph"/>
        <w:numPr>
          <w:ilvl w:val="0"/>
          <w:numId w:val="2"/>
        </w:numPr>
        <w:spacing w:before="240" w:line="480" w:lineRule="auto"/>
        <w:ind w:left="284" w:hanging="284"/>
        <w:rPr>
          <w:rFonts w:ascii="Gulliver" w:hAnsi="Gulliver"/>
          <w:b/>
          <w:bCs/>
        </w:rPr>
      </w:pPr>
      <w:r>
        <w:rPr>
          <w:rFonts w:ascii="Gulliver" w:hAnsi="Gulliver"/>
          <w:b/>
          <w:bCs/>
        </w:rPr>
        <w:t>Methods Innovation</w:t>
      </w:r>
    </w:p>
    <w:p w14:paraId="1DAA287B" w14:textId="78204062" w:rsidR="009D6E52" w:rsidRPr="009D6E52" w:rsidRDefault="009D6E52" w:rsidP="009D6E52">
      <w:pPr>
        <w:pStyle w:val="ListParagraph"/>
        <w:numPr>
          <w:ilvl w:val="1"/>
          <w:numId w:val="2"/>
        </w:numPr>
        <w:spacing w:before="240"/>
        <w:ind w:left="284" w:hanging="284"/>
        <w:rPr>
          <w:rFonts w:ascii="Gulliver" w:hAnsi="Gulliver"/>
          <w:i/>
          <w:iCs/>
          <w:sz w:val="20"/>
          <w:szCs w:val="20"/>
        </w:rPr>
      </w:pPr>
      <w:r w:rsidRPr="009D6E52">
        <w:rPr>
          <w:rFonts w:ascii="Gulliver" w:hAnsi="Gulliver"/>
          <w:i/>
          <w:iCs/>
          <w:sz w:val="20"/>
          <w:szCs w:val="20"/>
        </w:rPr>
        <w:t>Research design</w:t>
      </w:r>
    </w:p>
    <w:p w14:paraId="30AC3533" w14:textId="7267C188" w:rsidR="009D6E52" w:rsidRPr="009D6E52" w:rsidRDefault="009D6E52" w:rsidP="009D6E52">
      <w:pPr>
        <w:ind w:firstLine="284"/>
        <w:jc w:val="both"/>
        <w:rPr>
          <w:rFonts w:ascii="Gulliver" w:hAnsi="Gulliver"/>
          <w:sz w:val="20"/>
          <w:szCs w:val="20"/>
        </w:rPr>
      </w:pPr>
      <w:r w:rsidRPr="009D6E52">
        <w:rPr>
          <w:rFonts w:ascii="Gulliver" w:hAnsi="Gulliver"/>
          <w:sz w:val="20"/>
          <w:szCs w:val="20"/>
        </w:rPr>
        <w:t xml:space="preserve">This study is based on a quantitative research design as a cross-sectional study that quantifies international academic research in the field of marketing related to </w:t>
      </w:r>
      <w:r w:rsidRPr="009D6E52">
        <w:rPr>
          <w:rFonts w:ascii="Gulliver" w:hAnsi="Gulliver"/>
          <w:sz w:val="20"/>
          <w:szCs w:val="20"/>
        </w:rPr>
        <w:t xml:space="preserve">machine learning (ML) methods. The research has tested the hypotheses using Structural Equation </w:t>
      </w:r>
      <w:proofErr w:type="spellStart"/>
      <w:r w:rsidRPr="009D6E52">
        <w:rPr>
          <w:rFonts w:ascii="Gulliver" w:hAnsi="Gulliver"/>
          <w:sz w:val="20"/>
          <w:szCs w:val="20"/>
        </w:rPr>
        <w:t>Modeling</w:t>
      </w:r>
      <w:proofErr w:type="spellEnd"/>
      <w:r w:rsidRPr="009D6E52">
        <w:rPr>
          <w:rFonts w:ascii="Gulliver" w:hAnsi="Gulliver"/>
          <w:sz w:val="20"/>
          <w:szCs w:val="20"/>
        </w:rPr>
        <w:t xml:space="preserve"> (SEM) through </w:t>
      </w:r>
      <w:proofErr w:type="spellStart"/>
      <w:r w:rsidRPr="009D6E52">
        <w:rPr>
          <w:rFonts w:ascii="Gulliver" w:hAnsi="Gulliver"/>
          <w:sz w:val="20"/>
          <w:szCs w:val="20"/>
        </w:rPr>
        <w:t>SmartPLS</w:t>
      </w:r>
      <w:proofErr w:type="spellEnd"/>
      <w:r w:rsidRPr="009D6E52">
        <w:rPr>
          <w:rFonts w:ascii="Gulliver" w:hAnsi="Gulliver"/>
          <w:sz w:val="20"/>
          <w:szCs w:val="20"/>
        </w:rPr>
        <w:t xml:space="preserve">, given its capabilities to address complex models and combinations of reflective and formative constructs (Hair et al., 2021). The key theme from the study is that theory construction requires proper alignment with measurement variables for establishing construct validity and reliability. The research also uses multi-level </w:t>
      </w:r>
      <w:proofErr w:type="spellStart"/>
      <w:r w:rsidRPr="009D6E52">
        <w:rPr>
          <w:rFonts w:ascii="Gulliver" w:hAnsi="Gulliver"/>
          <w:sz w:val="20"/>
          <w:szCs w:val="20"/>
        </w:rPr>
        <w:t>modeling</w:t>
      </w:r>
      <w:proofErr w:type="spellEnd"/>
      <w:r w:rsidRPr="009D6E52">
        <w:rPr>
          <w:rFonts w:ascii="Gulliver" w:hAnsi="Gulliver"/>
          <w:sz w:val="20"/>
          <w:szCs w:val="20"/>
        </w:rPr>
        <w:t xml:space="preserve"> to examine the interactions of human insights and AI-driven marketing innovations (Rust &amp; Huang, 2021). To address this, the data is collected from a single country, Australia, to ensure that the findings are relevant contextually and that they capture the consistency of ML applications in marketing during the research period of 2022 to 2023.</w:t>
      </w:r>
    </w:p>
    <w:p w14:paraId="1DDDFAF8" w14:textId="5B61F74E" w:rsidR="009D6E52" w:rsidRPr="00C27454" w:rsidRDefault="009D6E52" w:rsidP="009D6E52">
      <w:pPr>
        <w:pStyle w:val="ListParagraph"/>
        <w:numPr>
          <w:ilvl w:val="1"/>
          <w:numId w:val="2"/>
        </w:numPr>
        <w:spacing w:before="240"/>
        <w:ind w:left="284" w:hanging="284"/>
        <w:rPr>
          <w:rFonts w:ascii="Gulliver" w:hAnsi="Gulliver"/>
          <w:i/>
          <w:iCs/>
          <w:sz w:val="20"/>
          <w:szCs w:val="20"/>
        </w:rPr>
      </w:pPr>
      <w:r w:rsidRPr="00C27454">
        <w:rPr>
          <w:rFonts w:ascii="Gulliver" w:hAnsi="Gulliver"/>
          <w:i/>
          <w:iCs/>
          <w:sz w:val="20"/>
          <w:szCs w:val="20"/>
        </w:rPr>
        <w:t>Research sample</w:t>
      </w:r>
    </w:p>
    <w:p w14:paraId="6D4D6697" w14:textId="298298BF" w:rsidR="009D6E52" w:rsidRDefault="00C27454" w:rsidP="00C27454">
      <w:pPr>
        <w:ind w:firstLine="284"/>
        <w:jc w:val="both"/>
        <w:rPr>
          <w:rFonts w:ascii="Gulliver" w:hAnsi="Gulliver"/>
          <w:sz w:val="20"/>
          <w:szCs w:val="20"/>
        </w:rPr>
      </w:pPr>
      <w:r w:rsidRPr="00C27454">
        <w:rPr>
          <w:rFonts w:ascii="Gulliver" w:hAnsi="Gulliver"/>
          <w:sz w:val="20"/>
          <w:szCs w:val="20"/>
        </w:rPr>
        <w:t>The sample includes marketing professionals and organizations from Australia who are aggressively using ML tools to optimize marketing strategies. Your data collection covers the time period 2022–2023 and reflects contemporary uses of AI and ML in lines of marketing. A purposive sampling technique is used where participants are selected from specific sectors to enable respondents to address predictive analytics, customer segmentation, and personalized marketing campaigns, amongst others. This method guarantees that the respondents possess considerable experience with ML tools when answering them, thereby increasing the relevance of the results. Recommended by Cohen (1988), a minimum sample of 300 respondents is sought in order to provide statistical power to SEM analyses. Data comes from surveys conducted among Australian companies and reports that capture the local marketing landscape driven by AI.</w:t>
      </w:r>
    </w:p>
    <w:p w14:paraId="1616550E" w14:textId="2DBBBA59" w:rsidR="009D6E52" w:rsidRPr="003576CC" w:rsidRDefault="003576CC" w:rsidP="009D6E52">
      <w:pPr>
        <w:pStyle w:val="ListParagraph"/>
        <w:numPr>
          <w:ilvl w:val="1"/>
          <w:numId w:val="2"/>
        </w:numPr>
        <w:spacing w:before="240"/>
        <w:ind w:left="284" w:hanging="284"/>
        <w:rPr>
          <w:rFonts w:ascii="Gulliver" w:hAnsi="Gulliver"/>
          <w:i/>
          <w:iCs/>
          <w:sz w:val="20"/>
          <w:szCs w:val="20"/>
        </w:rPr>
      </w:pPr>
      <w:r w:rsidRPr="003576CC">
        <w:rPr>
          <w:rFonts w:ascii="Gulliver" w:hAnsi="Gulliver"/>
          <w:i/>
          <w:iCs/>
          <w:sz w:val="20"/>
          <w:szCs w:val="20"/>
        </w:rPr>
        <w:t>Variable of the instrument</w:t>
      </w:r>
    </w:p>
    <w:p w14:paraId="79C1857A" w14:textId="34B11F64" w:rsidR="009D6E52" w:rsidRPr="009D6E52" w:rsidRDefault="00C27454" w:rsidP="00DC663C">
      <w:pPr>
        <w:spacing w:after="0"/>
        <w:ind w:firstLine="284"/>
        <w:jc w:val="both"/>
        <w:rPr>
          <w:rFonts w:ascii="Gulliver" w:hAnsi="Gulliver"/>
          <w:sz w:val="20"/>
          <w:szCs w:val="20"/>
        </w:rPr>
      </w:pPr>
      <w:r w:rsidRPr="00C27454">
        <w:rPr>
          <w:rFonts w:ascii="Gulliver" w:hAnsi="Gulliver"/>
          <w:sz w:val="20"/>
          <w:szCs w:val="20"/>
        </w:rPr>
        <w:t>Construct reliability and validity is confirmed by the use of validated measurement instruments drawn from previous studies. The study also highlights variables like Prediction Accuracy, Insights from Data, Transparent Analysis, Human-AI Integration, and Customer Journey Mapping. All constructs are measured with multi-item scales to account for their multimodal nature in line with survey design best practices (</w:t>
      </w:r>
      <w:proofErr w:type="spellStart"/>
      <w:r w:rsidRPr="00C27454">
        <w:rPr>
          <w:rFonts w:ascii="Gulliver" w:hAnsi="Gulliver"/>
          <w:sz w:val="20"/>
          <w:szCs w:val="20"/>
        </w:rPr>
        <w:t>Henseler</w:t>
      </w:r>
      <w:proofErr w:type="spellEnd"/>
      <w:r w:rsidRPr="00C27454">
        <w:rPr>
          <w:rFonts w:ascii="Gulliver" w:hAnsi="Gulliver"/>
          <w:sz w:val="20"/>
          <w:szCs w:val="20"/>
        </w:rPr>
        <w:t xml:space="preserve"> et al., 2016) as well as psychometric validation.</w:t>
      </w:r>
      <w:r w:rsidR="00304A77">
        <w:rPr>
          <w:rFonts w:ascii="Gulliver" w:hAnsi="Gulliver"/>
          <w:sz w:val="20"/>
          <w:szCs w:val="20"/>
        </w:rPr>
        <w:t xml:space="preserve"> </w:t>
      </w:r>
      <w:r w:rsidRPr="00C27454">
        <w:rPr>
          <w:rFonts w:ascii="Gulliver" w:hAnsi="Gulliver"/>
          <w:sz w:val="20"/>
          <w:szCs w:val="20"/>
        </w:rPr>
        <w:t>Reliability is assessed using Cronbach’s alpha (≥ 0.7), and construct validity is confirmed through convergent and discriminant validity tests (Hair et al., 2021).</w:t>
      </w:r>
    </w:p>
    <w:p w14:paraId="6FF84398" w14:textId="2BC12580" w:rsidR="009D6E52" w:rsidRPr="00C27454" w:rsidRDefault="009D6E52" w:rsidP="009D6E52">
      <w:pPr>
        <w:pStyle w:val="ListParagraph"/>
        <w:numPr>
          <w:ilvl w:val="1"/>
          <w:numId w:val="2"/>
        </w:numPr>
        <w:spacing w:before="240"/>
        <w:ind w:left="284" w:hanging="284"/>
        <w:rPr>
          <w:rFonts w:ascii="Gulliver" w:hAnsi="Gulliver"/>
          <w:i/>
          <w:iCs/>
          <w:sz w:val="20"/>
          <w:szCs w:val="20"/>
        </w:rPr>
      </w:pPr>
      <w:r w:rsidRPr="00C27454">
        <w:rPr>
          <w:rFonts w:ascii="Gulliver" w:hAnsi="Gulliver"/>
          <w:i/>
          <w:iCs/>
          <w:sz w:val="20"/>
          <w:szCs w:val="20"/>
        </w:rPr>
        <w:t>Analysis Data</w:t>
      </w:r>
    </w:p>
    <w:p w14:paraId="4B492D8D" w14:textId="18B4FAA8" w:rsidR="009D6E52" w:rsidRPr="00C27454" w:rsidRDefault="00C27454" w:rsidP="00304A77">
      <w:pPr>
        <w:ind w:firstLine="284"/>
        <w:jc w:val="both"/>
        <w:rPr>
          <w:rFonts w:ascii="Gulliver" w:hAnsi="Gulliver"/>
          <w:sz w:val="20"/>
          <w:szCs w:val="20"/>
        </w:rPr>
      </w:pPr>
      <w:r w:rsidRPr="00C27454">
        <w:rPr>
          <w:rFonts w:ascii="Gulliver" w:hAnsi="Gulliver"/>
          <w:sz w:val="20"/>
          <w:szCs w:val="20"/>
        </w:rPr>
        <w:lastRenderedPageBreak/>
        <w:t xml:space="preserve">In this regard, the data analysis involves variance-based structural equation </w:t>
      </w:r>
      <w:proofErr w:type="spellStart"/>
      <w:r w:rsidRPr="00C27454">
        <w:rPr>
          <w:rFonts w:ascii="Gulliver" w:hAnsi="Gulliver"/>
          <w:sz w:val="20"/>
          <w:szCs w:val="20"/>
        </w:rPr>
        <w:t>modeling</w:t>
      </w:r>
      <w:proofErr w:type="spellEnd"/>
      <w:r w:rsidRPr="00C27454">
        <w:rPr>
          <w:rFonts w:ascii="Gulliver" w:hAnsi="Gulliver"/>
          <w:sz w:val="20"/>
          <w:szCs w:val="20"/>
        </w:rPr>
        <w:t xml:space="preserve"> (SEM) using </w:t>
      </w:r>
      <w:proofErr w:type="spellStart"/>
      <w:r w:rsidRPr="00C27454">
        <w:rPr>
          <w:rFonts w:ascii="Gulliver" w:hAnsi="Gulliver"/>
          <w:sz w:val="20"/>
          <w:szCs w:val="20"/>
        </w:rPr>
        <w:t>SmartPLS</w:t>
      </w:r>
      <w:proofErr w:type="spellEnd"/>
      <w:r w:rsidRPr="00C27454">
        <w:rPr>
          <w:rFonts w:ascii="Gulliver" w:hAnsi="Gulliver"/>
          <w:sz w:val="20"/>
          <w:szCs w:val="20"/>
        </w:rPr>
        <w:t xml:space="preserve"> 4.0 to derive a comprehensive analysis of the research model. It starts from data preparation, where imputation techniques are used for missing values and variables are normalized for consistent scaling range for valid SEM results. Reliability analysis using Cronbach’s alpha and composite reliability as well as convergent and discriminant validity tests using the Average Variance Extracted (AVE) and the </w:t>
      </w:r>
      <w:proofErr w:type="spellStart"/>
      <w:r w:rsidRPr="00C27454">
        <w:rPr>
          <w:rFonts w:ascii="Gulliver" w:hAnsi="Gulliver"/>
          <w:sz w:val="20"/>
          <w:szCs w:val="20"/>
        </w:rPr>
        <w:t>Fornell-Larcker</w:t>
      </w:r>
      <w:proofErr w:type="spellEnd"/>
      <w:r w:rsidRPr="00C27454">
        <w:rPr>
          <w:rFonts w:ascii="Gulliver" w:hAnsi="Gulliver"/>
          <w:sz w:val="20"/>
          <w:szCs w:val="20"/>
        </w:rPr>
        <w:t xml:space="preserve"> criteria and the </w:t>
      </w:r>
      <w:proofErr w:type="spellStart"/>
      <w:r w:rsidRPr="00C27454">
        <w:rPr>
          <w:rFonts w:ascii="Gulliver" w:hAnsi="Gulliver"/>
          <w:sz w:val="20"/>
          <w:szCs w:val="20"/>
        </w:rPr>
        <w:t>Heterotrait-Monotrait</w:t>
      </w:r>
      <w:proofErr w:type="spellEnd"/>
      <w:r w:rsidRPr="00C27454">
        <w:rPr>
          <w:rFonts w:ascii="Gulliver" w:hAnsi="Gulliver"/>
          <w:sz w:val="20"/>
          <w:szCs w:val="20"/>
        </w:rPr>
        <w:t xml:space="preserve"> ratio (HTMT) (Hair et al. 2021) are part of the measurement model assessment. The evaluation of the structural model focuses on path coefficients and implements bootstrapping with 5,000 resamples to determine statistical significance, while R² values indicate the amount of explained variance. Hypothesis testing for mediation and moderation allows researchers to examine both direct and indirect effects, providing a more nuanced understanding of how marketing variables interact. Robustness checks showed that the results were stable and reliable across subsamples and scenarios (i.e., multi-group analysis (MGA) and sensitivity analysis). Through these systematic analytical techniques, we can present an empirical contribution that ascertains the authenticity of the study’s recommendations in regard to AI-enabled marketing practices, especially in the Australian context and in line with the best practices of SEM analysis (</w:t>
      </w:r>
      <w:proofErr w:type="spellStart"/>
      <w:r w:rsidRPr="00C27454">
        <w:rPr>
          <w:rFonts w:ascii="Gulliver" w:hAnsi="Gulliver"/>
          <w:sz w:val="20"/>
          <w:szCs w:val="20"/>
        </w:rPr>
        <w:t>Sarstedt</w:t>
      </w:r>
      <w:proofErr w:type="spellEnd"/>
      <w:r w:rsidRPr="00C27454">
        <w:rPr>
          <w:rFonts w:ascii="Gulliver" w:hAnsi="Gulliver"/>
          <w:sz w:val="20"/>
          <w:szCs w:val="20"/>
        </w:rPr>
        <w:t xml:space="preserve"> et al., 2019).</w:t>
      </w:r>
    </w:p>
    <w:p w14:paraId="376454DD" w14:textId="08410AE6" w:rsidR="00E605C5" w:rsidRDefault="00C27454" w:rsidP="00F85E6D">
      <w:pPr>
        <w:pStyle w:val="ListParagraph"/>
        <w:numPr>
          <w:ilvl w:val="0"/>
          <w:numId w:val="2"/>
        </w:numPr>
        <w:spacing w:before="240" w:line="480" w:lineRule="auto"/>
        <w:ind w:left="284" w:hanging="284"/>
        <w:rPr>
          <w:rFonts w:ascii="Gulliver" w:hAnsi="Gulliver"/>
          <w:b/>
          <w:bCs/>
        </w:rPr>
      </w:pPr>
      <w:r>
        <w:rPr>
          <w:rFonts w:ascii="Gulliver" w:hAnsi="Gulliver"/>
          <w:b/>
          <w:bCs/>
        </w:rPr>
        <w:t>Results Innovation</w:t>
      </w:r>
    </w:p>
    <w:p w14:paraId="424BCE74" w14:textId="5F39891F" w:rsidR="00C27454" w:rsidRPr="00F85E6D" w:rsidRDefault="00F85E6D" w:rsidP="00F85E6D">
      <w:pPr>
        <w:pStyle w:val="ListParagraph"/>
        <w:numPr>
          <w:ilvl w:val="1"/>
          <w:numId w:val="2"/>
        </w:numPr>
        <w:spacing w:before="240"/>
        <w:ind w:left="284" w:hanging="284"/>
        <w:rPr>
          <w:rFonts w:ascii="Gulliver" w:hAnsi="Gulliver"/>
          <w:i/>
          <w:iCs/>
          <w:sz w:val="20"/>
          <w:szCs w:val="20"/>
        </w:rPr>
      </w:pPr>
      <w:r w:rsidRPr="00F85E6D">
        <w:rPr>
          <w:rFonts w:ascii="Gulliver" w:hAnsi="Gulliver"/>
          <w:i/>
          <w:iCs/>
          <w:sz w:val="20"/>
          <w:szCs w:val="20"/>
        </w:rPr>
        <w:t>Descriptive Statistics</w:t>
      </w:r>
    </w:p>
    <w:p w14:paraId="13983D96" w14:textId="3CB8BD7E" w:rsidR="00F85E6D" w:rsidRDefault="00F85E6D" w:rsidP="00F85E6D">
      <w:pPr>
        <w:spacing w:before="120" w:after="120" w:line="271" w:lineRule="auto"/>
        <w:ind w:firstLine="284"/>
        <w:jc w:val="both"/>
        <w:rPr>
          <w:rFonts w:ascii="Gulliver" w:hAnsi="Gulliver"/>
          <w:sz w:val="20"/>
          <w:szCs w:val="20"/>
        </w:rPr>
      </w:pPr>
      <w:r w:rsidRPr="00F85E6D">
        <w:rPr>
          <w:rFonts w:ascii="Gulliver" w:hAnsi="Gulliver"/>
          <w:sz w:val="20"/>
          <w:szCs w:val="20"/>
        </w:rPr>
        <w:t xml:space="preserve">Descriptive statistics summarize the demographics and professional characteristics of the respondent sample. The data sample comprises 300 professionals from a range of industries within Australia, collected between 2022–2023. The respondents also have a relatively balanced gender distribution namely 59.3% male and 40.7% female. 46.7% are Marketing Managers, 32.0% Data Analysts, and 21.3% AI/ML Specialists in terms of professional roles. Industry Breakdown: 32.7% Retail, 26.0% Financial Services, 41.3% Technology Half of the survey respondents have years of experience in the industry, with 28.7% with less than 5 years, 42.7% between 5–10 years and 28.7% with more than 10 years of experience. Data for this study is collected between August and October 2023, leading to a diversity of responses across multiple segments, building a solid base for the exploration of the effects of AI and machine learning </w:t>
      </w:r>
      <w:proofErr w:type="spellStart"/>
      <w:r w:rsidRPr="00F85E6D">
        <w:rPr>
          <w:rFonts w:ascii="Gulliver" w:hAnsi="Gulliver"/>
          <w:sz w:val="20"/>
          <w:szCs w:val="20"/>
        </w:rPr>
        <w:t>oc</w:t>
      </w:r>
      <w:proofErr w:type="spellEnd"/>
      <w:r w:rsidRPr="00F85E6D">
        <w:rPr>
          <w:rFonts w:ascii="Gulliver" w:hAnsi="Gulliver"/>
          <w:sz w:val="20"/>
          <w:szCs w:val="20"/>
        </w:rPr>
        <w:t xml:space="preserve"> marketing practices given a wide range of professionals and industries.</w:t>
      </w:r>
    </w:p>
    <w:p w14:paraId="7B39050E" w14:textId="511C992F" w:rsidR="00C27454" w:rsidRPr="00F85E6D" w:rsidRDefault="00F85E6D" w:rsidP="00DC663C">
      <w:pPr>
        <w:pStyle w:val="ListParagraph"/>
        <w:numPr>
          <w:ilvl w:val="1"/>
          <w:numId w:val="2"/>
        </w:numPr>
        <w:spacing w:before="240"/>
        <w:ind w:left="284" w:hanging="284"/>
        <w:jc w:val="both"/>
        <w:rPr>
          <w:rFonts w:ascii="Gulliver" w:hAnsi="Gulliver"/>
          <w:i/>
          <w:iCs/>
          <w:sz w:val="20"/>
          <w:szCs w:val="20"/>
        </w:rPr>
      </w:pPr>
      <w:r w:rsidRPr="00F85E6D">
        <w:rPr>
          <w:rFonts w:ascii="Gulliver" w:hAnsi="Gulliver"/>
          <w:i/>
          <w:iCs/>
          <w:sz w:val="20"/>
          <w:szCs w:val="20"/>
        </w:rPr>
        <w:t>Measurement Model Evaluation</w:t>
      </w:r>
      <w:r w:rsidRPr="00F85E6D">
        <w:t xml:space="preserve"> </w:t>
      </w:r>
      <w:r>
        <w:t>(</w:t>
      </w:r>
      <w:r w:rsidRPr="00F85E6D">
        <w:rPr>
          <w:rFonts w:ascii="Gulliver" w:hAnsi="Gulliver"/>
          <w:i/>
          <w:iCs/>
          <w:sz w:val="20"/>
          <w:szCs w:val="20"/>
        </w:rPr>
        <w:t>Reliability and Convergent Validity</w:t>
      </w:r>
      <w:r>
        <w:rPr>
          <w:rFonts w:ascii="Gulliver" w:hAnsi="Gulliver"/>
          <w:i/>
          <w:iCs/>
          <w:sz w:val="20"/>
          <w:szCs w:val="20"/>
        </w:rPr>
        <w:t>)</w:t>
      </w:r>
    </w:p>
    <w:p w14:paraId="7DDBCBCD" w14:textId="79A6D017" w:rsidR="00F85E6D" w:rsidRDefault="00F85E6D" w:rsidP="00F85E6D">
      <w:pPr>
        <w:ind w:firstLine="284"/>
        <w:jc w:val="both"/>
        <w:rPr>
          <w:rFonts w:ascii="Gulliver" w:hAnsi="Gulliver"/>
          <w:sz w:val="20"/>
          <w:szCs w:val="20"/>
        </w:rPr>
      </w:pPr>
      <w:r w:rsidRPr="00F85E6D">
        <w:rPr>
          <w:rFonts w:ascii="Gulliver" w:hAnsi="Gulliver"/>
          <w:sz w:val="20"/>
          <w:szCs w:val="20"/>
        </w:rPr>
        <w:t>Construct Validity and Reliability were tested based on * Cronbach’s Alpha, Composite Reliability (CR), Average Variance Extracted (AVE), with values indicating the robustness of the constructs [xxx]. As a result, all the measures exceeded the recommended thresholds of *0.70 for Cronbach’s Alpha; **0.70 for CR; and 0.50 for AVE (Hair et al., 2021). In particular, Prediction Accuracy reached Cronbach’s Alpha, CR, and AVE of 0.89, 0.92, and 0.65 respectively. Insights from Data obtained 0.91 for Cronbach’s Alpha, 0.94 for CR and 0.68 for AVE; similarly Transparent Analysis (α=0.88, CR = 0.91, AVE = 0.64), Human–AI Integration (α = 0.87, CR = 0.91, AVE = 0.62), Customer Journey Mapping (α = 0.92, CR = 0.95, AVE = 0.70) represented high reliability and validity. These results confirm the reliability and convergent validity of the constructs we used in this study and lay the groundwork for further analysis of AI-driven marketing practices.</w:t>
      </w:r>
    </w:p>
    <w:p w14:paraId="05332798" w14:textId="5275E508" w:rsidR="00C27454" w:rsidRDefault="00F85E6D" w:rsidP="003576CC">
      <w:pPr>
        <w:pStyle w:val="ListParagraph"/>
        <w:numPr>
          <w:ilvl w:val="1"/>
          <w:numId w:val="2"/>
        </w:numPr>
        <w:spacing w:before="240" w:after="120" w:line="271" w:lineRule="auto"/>
        <w:ind w:left="284" w:hanging="284"/>
        <w:contextualSpacing w:val="0"/>
        <w:rPr>
          <w:rFonts w:ascii="Gulliver" w:hAnsi="Gulliver"/>
          <w:sz w:val="20"/>
          <w:szCs w:val="20"/>
        </w:rPr>
      </w:pPr>
      <w:r w:rsidRPr="00F85E6D">
        <w:rPr>
          <w:rFonts w:ascii="Gulliver" w:hAnsi="Gulliver"/>
          <w:i/>
          <w:iCs/>
          <w:sz w:val="20"/>
          <w:szCs w:val="20"/>
        </w:rPr>
        <w:t>Measurement Model Evaluation</w:t>
      </w:r>
      <w:r w:rsidRPr="00F85E6D">
        <w:t xml:space="preserve"> </w:t>
      </w:r>
      <w:r w:rsidRPr="00F85E6D">
        <w:rPr>
          <w:rFonts w:ascii="Gulliver" w:hAnsi="Gulliver"/>
          <w:i/>
          <w:iCs/>
          <w:sz w:val="20"/>
          <w:szCs w:val="20"/>
        </w:rPr>
        <w:t>Discriminant Validity</w:t>
      </w:r>
    </w:p>
    <w:p w14:paraId="0FE04B3C" w14:textId="56149433" w:rsidR="00F85E6D" w:rsidRDefault="00AD3C00" w:rsidP="00EB3855">
      <w:pPr>
        <w:spacing w:line="271" w:lineRule="auto"/>
        <w:ind w:firstLine="284"/>
        <w:jc w:val="both"/>
        <w:rPr>
          <w:rFonts w:ascii="Gulliver" w:hAnsi="Gulliver"/>
          <w:sz w:val="20"/>
          <w:szCs w:val="20"/>
        </w:rPr>
      </w:pPr>
      <w:r w:rsidRPr="00AD3C00">
        <w:rPr>
          <w:rFonts w:ascii="Gulliver" w:hAnsi="Gulliver"/>
          <w:sz w:val="20"/>
          <w:szCs w:val="20"/>
        </w:rPr>
        <w:t xml:space="preserve">Discriminant validity of the different constructs was assessed with the </w:t>
      </w:r>
      <w:proofErr w:type="spellStart"/>
      <w:r w:rsidRPr="00AD3C00">
        <w:rPr>
          <w:rFonts w:ascii="Gulliver" w:hAnsi="Gulliver"/>
          <w:sz w:val="20"/>
          <w:szCs w:val="20"/>
        </w:rPr>
        <w:t>Fornell-Larcker</w:t>
      </w:r>
      <w:proofErr w:type="spellEnd"/>
      <w:r w:rsidRPr="00AD3C00">
        <w:rPr>
          <w:rFonts w:ascii="Gulliver" w:hAnsi="Gulliver"/>
          <w:sz w:val="20"/>
          <w:szCs w:val="20"/>
        </w:rPr>
        <w:t xml:space="preserve"> criterion as well as with the </w:t>
      </w:r>
      <w:proofErr w:type="spellStart"/>
      <w:r w:rsidRPr="00AD3C00">
        <w:rPr>
          <w:rFonts w:ascii="Gulliver" w:hAnsi="Gulliver"/>
          <w:sz w:val="20"/>
          <w:szCs w:val="20"/>
        </w:rPr>
        <w:t>Heterotrait-Monotrait</w:t>
      </w:r>
      <w:proofErr w:type="spellEnd"/>
      <w:r w:rsidRPr="00AD3C00">
        <w:rPr>
          <w:rFonts w:ascii="Gulliver" w:hAnsi="Gulliver"/>
          <w:sz w:val="20"/>
          <w:szCs w:val="20"/>
        </w:rPr>
        <w:t xml:space="preserve"> (HTMT) ratio, confirming their uniqueness. Discriminant validity (</w:t>
      </w:r>
      <w:proofErr w:type="spellStart"/>
      <w:r w:rsidRPr="00AD3C00">
        <w:rPr>
          <w:rFonts w:ascii="Gulliver" w:hAnsi="Gulliver"/>
          <w:sz w:val="20"/>
          <w:szCs w:val="20"/>
        </w:rPr>
        <w:t>Fornell-Larcker</w:t>
      </w:r>
      <w:proofErr w:type="spellEnd"/>
      <w:r w:rsidRPr="00AD3C00">
        <w:rPr>
          <w:rFonts w:ascii="Gulliver" w:hAnsi="Gulliver"/>
          <w:sz w:val="20"/>
          <w:szCs w:val="20"/>
        </w:rPr>
        <w:t xml:space="preserve"> criterion) was established as the square root of the AVE for each construct (represented as diagonal values in Table 5) was greater than its correlations with other constructs. Example PA scores an AVE square root of 0.80, greater than correlations with predictors Insights from Data (ID) (0.56) and remaining constructs. Profoundly interesting, Customer Journey Mapping (CJM) has 0.84 square root of AVE, more than its correlations with the rest of the constructs.</w:t>
      </w:r>
      <w:r>
        <w:rPr>
          <w:rFonts w:ascii="Gulliver" w:hAnsi="Gulliver"/>
          <w:sz w:val="20"/>
          <w:szCs w:val="20"/>
        </w:rPr>
        <w:t xml:space="preserve"> </w:t>
      </w:r>
      <w:r w:rsidRPr="00AD3C00">
        <w:rPr>
          <w:rFonts w:ascii="Gulliver" w:hAnsi="Gulliver"/>
          <w:sz w:val="20"/>
          <w:szCs w:val="20"/>
        </w:rPr>
        <w:t xml:space="preserve">Furthermore, HTMT values were below the suggested </w:t>
      </w:r>
      <w:proofErr w:type="spellStart"/>
      <w:r w:rsidRPr="00AD3C00">
        <w:rPr>
          <w:rFonts w:ascii="Gulliver" w:hAnsi="Gulliver"/>
          <w:sz w:val="20"/>
          <w:szCs w:val="20"/>
        </w:rPr>
        <w:t>cutoff</w:t>
      </w:r>
      <w:proofErr w:type="spellEnd"/>
      <w:r w:rsidRPr="00AD3C00">
        <w:rPr>
          <w:rFonts w:ascii="Gulliver" w:hAnsi="Gulliver"/>
          <w:sz w:val="20"/>
          <w:szCs w:val="20"/>
        </w:rPr>
        <w:t xml:space="preserve"> 0.85 (</w:t>
      </w:r>
      <w:proofErr w:type="spellStart"/>
      <w:r w:rsidRPr="00AD3C00">
        <w:rPr>
          <w:rFonts w:ascii="Gulliver" w:hAnsi="Gulliver"/>
          <w:sz w:val="20"/>
          <w:szCs w:val="20"/>
        </w:rPr>
        <w:t>Henseler</w:t>
      </w:r>
      <w:proofErr w:type="spellEnd"/>
      <w:r w:rsidRPr="00AD3C00">
        <w:rPr>
          <w:rFonts w:ascii="Gulliver" w:hAnsi="Gulliver"/>
          <w:sz w:val="20"/>
          <w:szCs w:val="20"/>
        </w:rPr>
        <w:t xml:space="preserve"> et al., 2015), thus reinforcing discriminant validity. These results offer evidence that the constructs are sufficiently distinct, thus allowing for reliable use of the model in subsequent testing through structural equation </w:t>
      </w:r>
      <w:proofErr w:type="spellStart"/>
      <w:r w:rsidRPr="00AD3C00">
        <w:rPr>
          <w:rFonts w:ascii="Gulliver" w:hAnsi="Gulliver"/>
          <w:sz w:val="20"/>
          <w:szCs w:val="20"/>
        </w:rPr>
        <w:t>modeling</w:t>
      </w:r>
      <w:proofErr w:type="spellEnd"/>
      <w:r w:rsidRPr="00AD3C00">
        <w:rPr>
          <w:rFonts w:ascii="Gulliver" w:hAnsi="Gulliver"/>
          <w:sz w:val="20"/>
          <w:szCs w:val="20"/>
        </w:rPr>
        <w:t xml:space="preserve"> and hypothesis testing.</w:t>
      </w:r>
    </w:p>
    <w:p w14:paraId="04E37D0A" w14:textId="69899264" w:rsidR="00C27454" w:rsidRPr="00AD3C00" w:rsidRDefault="00AD3C00" w:rsidP="00F85E6D">
      <w:pPr>
        <w:pStyle w:val="ListParagraph"/>
        <w:numPr>
          <w:ilvl w:val="1"/>
          <w:numId w:val="2"/>
        </w:numPr>
        <w:spacing w:before="240"/>
        <w:ind w:left="284" w:hanging="284"/>
        <w:rPr>
          <w:rFonts w:ascii="Gulliver" w:hAnsi="Gulliver"/>
          <w:i/>
          <w:iCs/>
          <w:sz w:val="20"/>
          <w:szCs w:val="20"/>
        </w:rPr>
      </w:pPr>
      <w:r w:rsidRPr="00AD3C00">
        <w:rPr>
          <w:rFonts w:ascii="Gulliver" w:hAnsi="Gulliver"/>
          <w:i/>
          <w:iCs/>
          <w:sz w:val="20"/>
          <w:szCs w:val="20"/>
        </w:rPr>
        <w:t>Structural Model Evaluation</w:t>
      </w:r>
    </w:p>
    <w:p w14:paraId="718F440F" w14:textId="1911B389" w:rsidR="00AD3C00" w:rsidRPr="00EB3855" w:rsidRDefault="003576CC" w:rsidP="00EB3855">
      <w:pPr>
        <w:ind w:firstLine="284"/>
        <w:jc w:val="both"/>
        <w:rPr>
          <w:rFonts w:ascii="Gulliver" w:hAnsi="Gulliver"/>
          <w:sz w:val="20"/>
          <w:szCs w:val="20"/>
        </w:rPr>
      </w:pPr>
      <w:r w:rsidRPr="003576CC">
        <w:rPr>
          <w:rFonts w:ascii="Gulliver" w:hAnsi="Gulliver"/>
          <w:sz w:val="20"/>
          <w:szCs w:val="20"/>
        </w:rPr>
        <w:t xml:space="preserve">Results of the analysis of path coefficients and hypothesis testing show that there are strong and significant relationships among constructs, and that the results remain robust based on bootstrapping analysis with 5,000 subsamples. All hypotheses were confirmed (p &lt; 0.001), supporting strong statistical power. To this end, H1: ML Methods have a Positive Effect on Prediction </w:t>
      </w:r>
      <w:r w:rsidRPr="003576CC">
        <w:rPr>
          <w:rFonts w:ascii="Gulliver" w:hAnsi="Gulliver"/>
          <w:sz w:val="20"/>
          <w:szCs w:val="20"/>
        </w:rPr>
        <w:lastRenderedPageBreak/>
        <w:t>Accuracy produced a path coefficient (β) of 0.62 and a t-value of 12.48, indicating a strong effect. Likewise, H5: ML optimizing customer journeys has also led to the highest path coefficient (β = 0.66) and t-value of 14.01 implying that machine learning plays a pivotal role in enhancing customer journeys.</w:t>
      </w:r>
      <w:r>
        <w:rPr>
          <w:rFonts w:ascii="Gulliver" w:hAnsi="Gulliver"/>
          <w:sz w:val="20"/>
          <w:szCs w:val="20"/>
        </w:rPr>
        <w:t xml:space="preserve"> </w:t>
      </w:r>
      <w:r w:rsidRPr="003576CC">
        <w:rPr>
          <w:rFonts w:ascii="Gulliver" w:hAnsi="Gulliver"/>
          <w:sz w:val="20"/>
          <w:szCs w:val="20"/>
        </w:rPr>
        <w:t>In addition, R2 values were employed to evaluate the model's explanatory power, to depict how much variance was accounted for in each latent dependent construct. These find... These findings help to confirm the theoretical structure, showing that the usage of ML and AI methods significantly improves predictive accuracy, insights generation, analytical transparency, human-AI integration, and customer journey optimization in marketing contexts.</w:t>
      </w:r>
    </w:p>
    <w:p w14:paraId="4BAFF6C2" w14:textId="2447F9A0" w:rsidR="00C27454" w:rsidRPr="003576CC" w:rsidRDefault="003576CC" w:rsidP="00F85E6D">
      <w:pPr>
        <w:pStyle w:val="ListParagraph"/>
        <w:numPr>
          <w:ilvl w:val="1"/>
          <w:numId w:val="2"/>
        </w:numPr>
        <w:spacing w:before="240"/>
        <w:ind w:left="284" w:hanging="284"/>
        <w:rPr>
          <w:rFonts w:ascii="Gulliver" w:hAnsi="Gulliver"/>
          <w:i/>
          <w:iCs/>
          <w:sz w:val="20"/>
          <w:szCs w:val="20"/>
        </w:rPr>
      </w:pPr>
      <w:r w:rsidRPr="003576CC">
        <w:rPr>
          <w:rFonts w:ascii="Gulliver" w:hAnsi="Gulliver"/>
          <w:i/>
          <w:iCs/>
          <w:sz w:val="20"/>
          <w:szCs w:val="20"/>
        </w:rPr>
        <w:t>Explanatory power (R² values)</w:t>
      </w:r>
    </w:p>
    <w:p w14:paraId="23328EDF" w14:textId="6750AF55" w:rsidR="003576CC" w:rsidRPr="00EB3855" w:rsidRDefault="003576CC" w:rsidP="00304A77">
      <w:pPr>
        <w:ind w:firstLine="284"/>
        <w:jc w:val="both"/>
        <w:rPr>
          <w:rFonts w:ascii="Gulliver" w:hAnsi="Gulliver"/>
          <w:sz w:val="20"/>
          <w:szCs w:val="20"/>
        </w:rPr>
      </w:pPr>
      <w:r w:rsidRPr="003576CC">
        <w:rPr>
          <w:rFonts w:ascii="Gulliver" w:hAnsi="Gulliver"/>
          <w:sz w:val="20"/>
          <w:szCs w:val="20"/>
        </w:rPr>
        <w:t>The R² values shown indicate the model's explanatory power respective to each dependent construct, meaning, how much of the variance between subjects can their predictors account for. Especially while referring to Table 7, Prediction Accuracy and Customer Journey Mapping show considerable explanatory power with R² values of 0.64 and 0.69 respectively, denoting strong influence of predictors over these constructs.</w:t>
      </w:r>
      <w:r>
        <w:rPr>
          <w:rFonts w:ascii="Gulliver" w:hAnsi="Gulliver"/>
          <w:sz w:val="20"/>
          <w:szCs w:val="20"/>
        </w:rPr>
        <w:t xml:space="preserve"> </w:t>
      </w:r>
      <w:r w:rsidRPr="003576CC">
        <w:rPr>
          <w:rFonts w:ascii="Gulliver" w:hAnsi="Gulliver"/>
          <w:sz w:val="20"/>
          <w:szCs w:val="20"/>
        </w:rPr>
        <w:t>In contrast, constructs like Insights from Data (R² = 0.59), Transparent Analysis (R² = 0.57) and Human-AI Integration (R² = 0.53) show moderate explanatory power, indicating a significant but less commanding role of the predictors.</w:t>
      </w:r>
      <w:r>
        <w:rPr>
          <w:rFonts w:ascii="Gulliver" w:hAnsi="Gulliver"/>
          <w:sz w:val="20"/>
          <w:szCs w:val="20"/>
        </w:rPr>
        <w:t xml:space="preserve"> </w:t>
      </w:r>
      <w:r w:rsidRPr="003576CC">
        <w:rPr>
          <w:rFonts w:ascii="Gulliver" w:hAnsi="Gulliver"/>
          <w:sz w:val="20"/>
          <w:szCs w:val="20"/>
        </w:rPr>
        <w:t>These findings highlight the model's ability to recognize the effects of machine learning (ML) and artificial intelligence (AI) on marketing dimensions, as it appears that dimensions associated with journey optimization and predictive measures gain the most from deep analytical methods.</w:t>
      </w:r>
    </w:p>
    <w:p w14:paraId="4C2DDA67" w14:textId="3702E27C" w:rsidR="00C27454" w:rsidRPr="001D073D" w:rsidRDefault="001D073D" w:rsidP="001D073D">
      <w:pPr>
        <w:pStyle w:val="ListParagraph"/>
        <w:numPr>
          <w:ilvl w:val="1"/>
          <w:numId w:val="2"/>
        </w:numPr>
        <w:spacing w:before="240"/>
        <w:ind w:left="284" w:hanging="284"/>
        <w:rPr>
          <w:rFonts w:ascii="Gulliver" w:hAnsi="Gulliver"/>
          <w:i/>
          <w:iCs/>
          <w:sz w:val="20"/>
          <w:szCs w:val="20"/>
        </w:rPr>
      </w:pPr>
      <w:r w:rsidRPr="001D073D">
        <w:rPr>
          <w:rFonts w:ascii="Gulliver" w:hAnsi="Gulliver"/>
          <w:i/>
          <w:iCs/>
          <w:sz w:val="20"/>
          <w:szCs w:val="20"/>
        </w:rPr>
        <w:t>Discussion</w:t>
      </w:r>
    </w:p>
    <w:p w14:paraId="06A5C11D" w14:textId="4E788872" w:rsidR="001D073D" w:rsidRPr="001D073D" w:rsidRDefault="001D073D" w:rsidP="001D073D">
      <w:pPr>
        <w:spacing w:after="0" w:line="271" w:lineRule="auto"/>
        <w:ind w:firstLine="284"/>
        <w:jc w:val="both"/>
        <w:rPr>
          <w:rFonts w:ascii="Gulliver" w:hAnsi="Gulliver"/>
          <w:sz w:val="20"/>
          <w:szCs w:val="20"/>
        </w:rPr>
      </w:pPr>
      <w:r w:rsidRPr="001D073D">
        <w:rPr>
          <w:rFonts w:ascii="Gulliver" w:hAnsi="Gulliver"/>
          <w:sz w:val="20"/>
          <w:szCs w:val="20"/>
        </w:rPr>
        <w:t xml:space="preserve">The results from the study show that machine learning provides a considerable improvement of prediction accuracy over commonly-used </w:t>
      </w:r>
      <w:proofErr w:type="spellStart"/>
      <w:r w:rsidRPr="001D073D">
        <w:rPr>
          <w:rFonts w:ascii="Gulliver" w:hAnsi="Gulliver"/>
          <w:sz w:val="20"/>
          <w:szCs w:val="20"/>
        </w:rPr>
        <w:t>modeling</w:t>
      </w:r>
      <w:proofErr w:type="spellEnd"/>
      <w:r w:rsidRPr="001D073D">
        <w:rPr>
          <w:rFonts w:ascii="Gulliver" w:hAnsi="Gulliver"/>
          <w:sz w:val="20"/>
          <w:szCs w:val="20"/>
        </w:rPr>
        <w:t xml:space="preserve"> approaches in marketing research. This is consistent with studies such as Guo et al. (2020) which demonstrate the effectiveness of ensemble learning techniques to achieve high accuracy in predicting customer retention. The predictive powers of ML allow marketers to predict consumer </w:t>
      </w:r>
      <w:r w:rsidR="00AA0346">
        <w:rPr>
          <w:rFonts w:ascii="Gulliver" w:hAnsi="Gulliver"/>
          <w:sz w:val="20"/>
          <w:szCs w:val="20"/>
        </w:rPr>
        <w:t>behaviour</w:t>
      </w:r>
      <w:r w:rsidRPr="001D073D">
        <w:rPr>
          <w:rFonts w:ascii="Gulliver" w:hAnsi="Gulliver"/>
          <w:sz w:val="20"/>
          <w:szCs w:val="20"/>
        </w:rPr>
        <w:t>, optimize campaigns and eliminate inefficiencies. The problem is figuring out how to ensure the algorithms can keep up with shifting consumer dynamics. Although Liu et al. (2019), they afford strong prediction models the downside of being not interpretable; this is an important problem. There is a particular need for interpretable ML models to increase the trust and use of these systems in practice.</w:t>
      </w:r>
    </w:p>
    <w:p w14:paraId="79B051DC" w14:textId="69623077" w:rsidR="001D073D" w:rsidRPr="001D073D" w:rsidRDefault="001D073D" w:rsidP="001D073D">
      <w:pPr>
        <w:spacing w:after="0" w:line="271" w:lineRule="auto"/>
        <w:ind w:firstLine="284"/>
        <w:jc w:val="both"/>
        <w:rPr>
          <w:rFonts w:ascii="Gulliver" w:hAnsi="Gulliver"/>
          <w:sz w:val="20"/>
          <w:szCs w:val="20"/>
        </w:rPr>
      </w:pPr>
      <w:r w:rsidRPr="001D073D">
        <w:rPr>
          <w:rFonts w:ascii="Gulliver" w:hAnsi="Gulliver"/>
          <w:sz w:val="20"/>
          <w:szCs w:val="20"/>
        </w:rPr>
        <w:t xml:space="preserve">Machine learning worked successfully in deriving valuable information from sprawling, unstructured data like text, images, and videos. </w:t>
      </w:r>
      <w:proofErr w:type="spellStart"/>
      <w:r w:rsidRPr="001D073D">
        <w:rPr>
          <w:rFonts w:ascii="Gulliver" w:hAnsi="Gulliver"/>
          <w:sz w:val="20"/>
          <w:szCs w:val="20"/>
        </w:rPr>
        <w:t>Tirunillai</w:t>
      </w:r>
      <w:proofErr w:type="spellEnd"/>
      <w:r w:rsidRPr="001D073D">
        <w:rPr>
          <w:rFonts w:ascii="Gulliver" w:hAnsi="Gulliver"/>
          <w:sz w:val="20"/>
          <w:szCs w:val="20"/>
        </w:rPr>
        <w:t xml:space="preserve"> and </w:t>
      </w:r>
      <w:proofErr w:type="spellStart"/>
      <w:r w:rsidRPr="001D073D">
        <w:rPr>
          <w:rFonts w:ascii="Gulliver" w:hAnsi="Gulliver"/>
          <w:sz w:val="20"/>
          <w:szCs w:val="20"/>
        </w:rPr>
        <w:t>Tellis</w:t>
      </w:r>
      <w:proofErr w:type="spellEnd"/>
      <w:r w:rsidRPr="001D073D">
        <w:rPr>
          <w:rFonts w:ascii="Gulliver" w:hAnsi="Gulliver"/>
          <w:sz w:val="20"/>
          <w:szCs w:val="20"/>
        </w:rPr>
        <w:t xml:space="preserve"> (2020) further illustrate this with natural language processing (NLP) methods to analyse online reviews for consumer sentiment. Similarly, Conroy et al. (2021) highlighted the power of computer vision in </w:t>
      </w:r>
      <w:proofErr w:type="spellStart"/>
      <w:r w:rsidRPr="001D073D">
        <w:rPr>
          <w:rFonts w:ascii="Gulliver" w:hAnsi="Gulliver"/>
          <w:sz w:val="20"/>
          <w:szCs w:val="20"/>
        </w:rPr>
        <w:t>analyzing</w:t>
      </w:r>
      <w:proofErr w:type="spellEnd"/>
      <w:r w:rsidRPr="001D073D">
        <w:rPr>
          <w:rFonts w:ascii="Gulliver" w:hAnsi="Gulliver"/>
          <w:sz w:val="20"/>
          <w:szCs w:val="20"/>
        </w:rPr>
        <w:t xml:space="preserve"> the visual content associated with brands on social media to analyse brand perceptions. This powerful functionality allows marketers to access previously locked down sources of data to gain a holistic view of consumers preferences. But this study also noted the problems with data quality and with integration. Unstructured data is usually collected from different sources, making consistency and accuracy paramount for extracting valuable insights.</w:t>
      </w:r>
    </w:p>
    <w:p w14:paraId="72B61720" w14:textId="13A74C88" w:rsidR="001D073D" w:rsidRPr="001D073D" w:rsidRDefault="001D073D" w:rsidP="001D073D">
      <w:pPr>
        <w:spacing w:after="0" w:line="271" w:lineRule="auto"/>
        <w:ind w:firstLine="284"/>
        <w:jc w:val="both"/>
        <w:rPr>
          <w:rFonts w:ascii="Gulliver" w:hAnsi="Gulliver"/>
          <w:sz w:val="20"/>
          <w:szCs w:val="20"/>
        </w:rPr>
      </w:pPr>
      <w:r w:rsidRPr="001D073D">
        <w:rPr>
          <w:rFonts w:ascii="Gulliver" w:hAnsi="Gulliver"/>
          <w:sz w:val="20"/>
          <w:szCs w:val="20"/>
        </w:rPr>
        <w:t xml:space="preserve">These findings have got some implication towards AI driven marketing models which could assist in understanding analytics with transparency. Marketers can </w:t>
      </w:r>
      <w:proofErr w:type="spellStart"/>
      <w:r w:rsidRPr="001D073D">
        <w:rPr>
          <w:rFonts w:ascii="Gulliver" w:hAnsi="Gulliver"/>
          <w:sz w:val="20"/>
          <w:szCs w:val="20"/>
        </w:rPr>
        <w:t>analyze</w:t>
      </w:r>
      <w:proofErr w:type="spellEnd"/>
      <w:r w:rsidRPr="001D073D">
        <w:rPr>
          <w:rFonts w:ascii="Gulliver" w:hAnsi="Gulliver"/>
          <w:sz w:val="20"/>
          <w:szCs w:val="20"/>
        </w:rPr>
        <w:t xml:space="preserve"> the historical data trends using descriptive analytics, while causal analytics helps understand the influence of certain elements on the end results. In particular, the prescriptive models have demonstrated promise in suggesting actionable strategies that optimize marketing performance. These findings are consistent with the work of </w:t>
      </w:r>
      <w:proofErr w:type="spellStart"/>
      <w:r w:rsidRPr="001D073D">
        <w:rPr>
          <w:rFonts w:ascii="Gulliver" w:hAnsi="Gulliver"/>
          <w:sz w:val="20"/>
          <w:szCs w:val="20"/>
        </w:rPr>
        <w:t>Yoganarasimhan</w:t>
      </w:r>
      <w:proofErr w:type="spellEnd"/>
      <w:r w:rsidRPr="001D073D">
        <w:rPr>
          <w:rFonts w:ascii="Gulliver" w:hAnsi="Gulliver"/>
          <w:sz w:val="20"/>
          <w:szCs w:val="20"/>
        </w:rPr>
        <w:t xml:space="preserve"> (2021), which demonstrated the application of reinforcement learning to dynamic pricing strategies, highlighting how the integration of real-time data informs pricing decisions, maximizing profitability. However, there are still issues of model transparency and interpretability, states Lipton (2020). For developing Stakeholder confidence requires balancing advanced models' complexity with their </w:t>
      </w:r>
      <w:proofErr w:type="spellStart"/>
      <w:r w:rsidRPr="001D073D">
        <w:rPr>
          <w:rFonts w:ascii="Gulliver" w:hAnsi="Gulliver"/>
          <w:sz w:val="20"/>
          <w:szCs w:val="20"/>
        </w:rPr>
        <w:t>explainability</w:t>
      </w:r>
      <w:proofErr w:type="spellEnd"/>
      <w:r w:rsidRPr="001D073D">
        <w:rPr>
          <w:rFonts w:ascii="Gulliver" w:hAnsi="Gulliver"/>
          <w:sz w:val="20"/>
          <w:szCs w:val="20"/>
        </w:rPr>
        <w:t>.</w:t>
      </w:r>
    </w:p>
    <w:p w14:paraId="67B2B316" w14:textId="085614A2" w:rsidR="001D073D" w:rsidRPr="001D073D" w:rsidRDefault="001D073D" w:rsidP="001D073D">
      <w:pPr>
        <w:spacing w:after="0" w:line="271" w:lineRule="auto"/>
        <w:ind w:firstLine="284"/>
        <w:jc w:val="both"/>
        <w:rPr>
          <w:rFonts w:ascii="Gulliver" w:hAnsi="Gulliver"/>
          <w:sz w:val="20"/>
          <w:szCs w:val="20"/>
        </w:rPr>
      </w:pPr>
      <w:r w:rsidRPr="001D073D">
        <w:rPr>
          <w:rFonts w:ascii="Gulliver" w:hAnsi="Gulliver"/>
          <w:sz w:val="20"/>
          <w:szCs w:val="20"/>
        </w:rPr>
        <w:t xml:space="preserve">Another important theme was the importance of traditional human insights with AI as a way to further boost marketing theory and execution. This hybrid solution combines the computational capabilities of artificial intelligence with the creative and intuitive power of human marketers. Ma et al. (2020) Found that human-algorithm consensus improves the quality of decision-making substantially. Training Data </w:t>
      </w:r>
      <w:proofErr w:type="gramStart"/>
      <w:r w:rsidRPr="001D073D">
        <w:rPr>
          <w:rFonts w:ascii="Gulliver" w:hAnsi="Gulliver"/>
          <w:sz w:val="20"/>
          <w:szCs w:val="20"/>
        </w:rPr>
        <w:t>And</w:t>
      </w:r>
      <w:proofErr w:type="gramEnd"/>
      <w:r w:rsidRPr="001D073D">
        <w:rPr>
          <w:rFonts w:ascii="Gulliver" w:hAnsi="Gulliver"/>
          <w:sz w:val="20"/>
          <w:szCs w:val="20"/>
        </w:rPr>
        <w:t xml:space="preserve"> Methodology The preceding study agrees with our notion that AI should not go completely against human intuition, it should stay relevant and context-sensitive. But implementing seamless integration is challenging and involves more than just tech: organizational and cultural resistance to adopting new technologies, for example, and upskilling employees to enable smart decision-making.</w:t>
      </w:r>
    </w:p>
    <w:p w14:paraId="065C99B8" w14:textId="798652BF" w:rsidR="001D073D" w:rsidRPr="001D073D" w:rsidRDefault="001D073D" w:rsidP="001D073D">
      <w:pPr>
        <w:spacing w:after="0" w:line="271" w:lineRule="auto"/>
        <w:ind w:firstLine="284"/>
        <w:jc w:val="both"/>
        <w:rPr>
          <w:rFonts w:ascii="Gulliver" w:hAnsi="Gulliver"/>
          <w:sz w:val="20"/>
          <w:szCs w:val="20"/>
        </w:rPr>
      </w:pPr>
      <w:r w:rsidRPr="001D073D">
        <w:rPr>
          <w:rFonts w:ascii="Gulliver" w:hAnsi="Gulliver"/>
          <w:sz w:val="20"/>
          <w:szCs w:val="20"/>
        </w:rPr>
        <w:t xml:space="preserve">Building on its promise around customer journey mapping and decision-support capabilities, machine </w:t>
      </w:r>
      <w:r w:rsidRPr="001D073D">
        <w:rPr>
          <w:rFonts w:ascii="Gulliver" w:hAnsi="Gulliver"/>
          <w:sz w:val="20"/>
          <w:szCs w:val="20"/>
        </w:rPr>
        <w:lastRenderedPageBreak/>
        <w:t xml:space="preserve">learning has also gained traction. ML algorithms help marketers skin the cat by identifying correlates of consumer </w:t>
      </w:r>
      <w:r w:rsidR="00AA0346">
        <w:rPr>
          <w:rFonts w:ascii="Gulliver" w:hAnsi="Gulliver"/>
          <w:sz w:val="20"/>
          <w:szCs w:val="20"/>
        </w:rPr>
        <w:t>behaviour</w:t>
      </w:r>
      <w:r w:rsidRPr="001D073D">
        <w:rPr>
          <w:rFonts w:ascii="Gulliver" w:hAnsi="Gulliver"/>
          <w:sz w:val="20"/>
          <w:szCs w:val="20"/>
        </w:rPr>
        <w:t xml:space="preserve"> through multi-touchpoint interactions. For instance, Kumar et al. (2022) demonstrated that AI models can be used to use user preferences and historical engagement to optimize the user experience across ad targeting or ad experiences. This study further elaborates on how AI bridges the gaps across fragmented touchpoints and provides consistency in brand messaging. But there are data privacy and ethics-related challenges to be ironed out. Compliance with regulations like GDPR and a focus on consumer trust are necessary for ensuring the long-term success of AI in customer journey mapping.</w:t>
      </w:r>
    </w:p>
    <w:p w14:paraId="76FAA07F" w14:textId="60D983EF" w:rsidR="001D073D" w:rsidRPr="001D073D" w:rsidRDefault="001D073D" w:rsidP="001D073D">
      <w:pPr>
        <w:spacing w:after="0" w:line="271" w:lineRule="auto"/>
        <w:ind w:firstLine="284"/>
        <w:jc w:val="both"/>
        <w:rPr>
          <w:rFonts w:ascii="Gulliver" w:hAnsi="Gulliver"/>
          <w:sz w:val="20"/>
          <w:szCs w:val="20"/>
        </w:rPr>
      </w:pPr>
      <w:r w:rsidRPr="001D073D">
        <w:rPr>
          <w:rFonts w:ascii="Gulliver" w:hAnsi="Gulliver"/>
          <w:sz w:val="20"/>
          <w:szCs w:val="20"/>
        </w:rPr>
        <w:t>The results of this study are in accordance with several previous studies, but also highlight inconsistencies that offer avenues for future research. For example, although some studies (e.g., Conroy et al. (2022), while two others [15, 16] highlight give their perspectives on the limitations of ML in capturing the nuanced emotional tones in sentiment analysis. Just as AI models have been heralded for their predictive efficacy, their impact does differ not only from industry to industry but also application to application. Such diversity highlights the need for some context of a given AI application in a particular marketing domain.</w:t>
      </w:r>
    </w:p>
    <w:p w14:paraId="3167629F" w14:textId="142FB5AE" w:rsidR="00C27454" w:rsidRPr="001D073D" w:rsidRDefault="001D073D" w:rsidP="001D073D">
      <w:pPr>
        <w:spacing w:after="0" w:line="271" w:lineRule="auto"/>
        <w:ind w:firstLine="284"/>
        <w:jc w:val="both"/>
        <w:rPr>
          <w:rFonts w:ascii="Gulliver" w:hAnsi="Gulliver"/>
          <w:sz w:val="20"/>
          <w:szCs w:val="20"/>
        </w:rPr>
      </w:pPr>
      <w:r w:rsidRPr="001D073D">
        <w:rPr>
          <w:rFonts w:ascii="Gulliver" w:hAnsi="Gulliver"/>
          <w:sz w:val="20"/>
          <w:szCs w:val="20"/>
        </w:rPr>
        <w:t>In spite of the promising findings, this study has some limitations that should be acknowledged. First, sample characteristics and geographic limitations may restrict generalizability of the results. The applicability of the research would be increased by extending to more markets and industries. Second, the study constructs large performance indicators in the area, such as prediction accuracy, and customer journey mapping, and other dimensions, such as the impacts of AI on the consumer trust and brand loyalty, could use further empirical investigation. And then concluding by mentioning that emerging trends and methodologies are important to know in order to make research relevant in this field as AI and ML technologies progress.</w:t>
      </w:r>
    </w:p>
    <w:p w14:paraId="2A3D99F9" w14:textId="2CDCFDE3" w:rsidR="00E605C5" w:rsidRDefault="001D073D" w:rsidP="00E605C5">
      <w:pPr>
        <w:pStyle w:val="ListParagraph"/>
        <w:numPr>
          <w:ilvl w:val="0"/>
          <w:numId w:val="2"/>
        </w:numPr>
        <w:spacing w:before="240"/>
        <w:ind w:left="284" w:hanging="284"/>
        <w:rPr>
          <w:rFonts w:ascii="Gulliver" w:hAnsi="Gulliver"/>
          <w:b/>
          <w:bCs/>
        </w:rPr>
      </w:pPr>
      <w:proofErr w:type="spellStart"/>
      <w:r>
        <w:rPr>
          <w:rFonts w:ascii="Gulliver" w:hAnsi="Gulliver"/>
          <w:b/>
          <w:bCs/>
        </w:rPr>
        <w:t>Conclussion</w:t>
      </w:r>
      <w:proofErr w:type="spellEnd"/>
    </w:p>
    <w:p w14:paraId="7F66D7A0" w14:textId="2BFE4DEC" w:rsidR="001D073D" w:rsidRPr="001D073D" w:rsidRDefault="001D073D" w:rsidP="001D073D">
      <w:pPr>
        <w:spacing w:before="240" w:after="0"/>
        <w:ind w:firstLine="284"/>
        <w:jc w:val="both"/>
        <w:rPr>
          <w:rFonts w:ascii="Gulliver" w:hAnsi="Gulliver"/>
          <w:sz w:val="20"/>
          <w:szCs w:val="20"/>
        </w:rPr>
      </w:pPr>
      <w:r w:rsidRPr="001D073D">
        <w:rPr>
          <w:rFonts w:ascii="Gulliver" w:hAnsi="Gulliver"/>
          <w:sz w:val="20"/>
          <w:szCs w:val="20"/>
        </w:rPr>
        <w:t xml:space="preserve">The findings of this study demonstrate the growing impact of artificial intelligence (AI) and machine learning (ML) on marketing research and practice. Such technologies are redefining the landscape of consumer understanding and engagement for marketers, from better </w:t>
      </w:r>
      <w:r w:rsidRPr="001D073D">
        <w:rPr>
          <w:rFonts w:ascii="Gulliver" w:hAnsi="Gulliver"/>
          <w:sz w:val="20"/>
          <w:szCs w:val="20"/>
        </w:rPr>
        <w:t>prediction accuracy and improved insights from unstructured data to transparent analytics and optimized customer journey mapping. This shows the value of hybrid approaches, where human insights fuse with AI to complement AI systems and enhance decision making. Yet, by overcoming model interpretability, data quality, and ethical challenges, it will be possible to unlock the potential of AI in marketing even more. This study not only supports the current value of AI applications but also re-emphasize the areas where more emphasis is required like, transparency, adjustability, privacy compliance, etc.</w:t>
      </w:r>
    </w:p>
    <w:p w14:paraId="37E277A9" w14:textId="4624DDE6" w:rsidR="00BC1C62" w:rsidRDefault="001D073D" w:rsidP="00F3125F">
      <w:pPr>
        <w:ind w:firstLine="284"/>
        <w:jc w:val="both"/>
        <w:rPr>
          <w:rFonts w:ascii="Gulliver" w:hAnsi="Gulliver"/>
          <w:sz w:val="20"/>
          <w:szCs w:val="20"/>
        </w:rPr>
      </w:pPr>
      <w:r w:rsidRPr="001D073D">
        <w:rPr>
          <w:rFonts w:ascii="Gulliver" w:hAnsi="Gulliver"/>
          <w:sz w:val="20"/>
          <w:szCs w:val="20"/>
        </w:rPr>
        <w:t>Future studies should address these limitations by building more interpretable and context-aware AI solutions, facilitating interdisciplinary cooperation between AI developers and marketing experts, and expanding scope to other fields and markets. Moreover, organizations need to focus on winning consumer trust by following ethical standards and maintaining data privacy. Fostering progress in these domains unlocks the full potential of AI and ML, enabling innovation and delivering greater value throughout the marketing ecosystem.</w:t>
      </w:r>
    </w:p>
    <w:p w14:paraId="70AB5432" w14:textId="2A0AE5B4" w:rsidR="00BC1C62" w:rsidRPr="00F3125F" w:rsidRDefault="00BC1C62" w:rsidP="00BC1C62">
      <w:pPr>
        <w:jc w:val="both"/>
        <w:rPr>
          <w:rFonts w:ascii="Gulliver" w:hAnsi="Gulliver"/>
          <w:b/>
          <w:bCs/>
        </w:rPr>
      </w:pPr>
      <w:r w:rsidRPr="00F3125F">
        <w:rPr>
          <w:rFonts w:ascii="Gulliver" w:hAnsi="Gulliver"/>
          <w:b/>
          <w:bCs/>
        </w:rPr>
        <w:t>Author agreement</w:t>
      </w:r>
    </w:p>
    <w:p w14:paraId="7F1B0354" w14:textId="40422F7E" w:rsidR="00BC1C62" w:rsidRDefault="00F3125F" w:rsidP="00BC1C62">
      <w:pPr>
        <w:jc w:val="both"/>
        <w:rPr>
          <w:rFonts w:ascii="Gulliver" w:hAnsi="Gulliver"/>
          <w:sz w:val="20"/>
          <w:szCs w:val="20"/>
        </w:rPr>
      </w:pPr>
      <w:r w:rsidRPr="00F3125F">
        <w:rPr>
          <w:rFonts w:ascii="Gulliver" w:hAnsi="Gulliver"/>
          <w:sz w:val="20"/>
          <w:szCs w:val="20"/>
        </w:rPr>
        <w:t>All authors confirm that they have contributed substantially to the development, analysis, and writing of this manuscript. They agree to its submission to the journal and certify that it is original work that has not been submitted or published elsewhere.</w:t>
      </w:r>
    </w:p>
    <w:p w14:paraId="16C9E432" w14:textId="7A0001EB" w:rsidR="00BC1C62" w:rsidRPr="00F3125F" w:rsidRDefault="00BC1C62" w:rsidP="00BC1C62">
      <w:pPr>
        <w:jc w:val="both"/>
        <w:rPr>
          <w:rFonts w:ascii="Gulliver" w:hAnsi="Gulliver"/>
          <w:b/>
          <w:bCs/>
        </w:rPr>
      </w:pPr>
      <w:r w:rsidRPr="00F3125F">
        <w:rPr>
          <w:rFonts w:ascii="Gulliver" w:hAnsi="Gulliver"/>
          <w:b/>
          <w:bCs/>
        </w:rPr>
        <w:t>Funding source declaration</w:t>
      </w:r>
    </w:p>
    <w:p w14:paraId="6D567D1E" w14:textId="36FDFD7C" w:rsidR="00BC1C62" w:rsidRDefault="00F3125F" w:rsidP="00F3125F">
      <w:pPr>
        <w:rPr>
          <w:rFonts w:ascii="Gulliver" w:hAnsi="Gulliver"/>
          <w:sz w:val="20"/>
          <w:szCs w:val="20"/>
        </w:rPr>
      </w:pPr>
      <w:r w:rsidRPr="00F3125F">
        <w:rPr>
          <w:rFonts w:ascii="Gulliver" w:hAnsi="Gulliver"/>
          <w:sz w:val="20"/>
          <w:szCs w:val="20"/>
        </w:rPr>
        <w:t>This research received no specific grant from any funding agency in the public, commercial, or not-for-profit sectors.</w:t>
      </w:r>
    </w:p>
    <w:p w14:paraId="65BE127C" w14:textId="523813B2" w:rsidR="00BC1C62" w:rsidRPr="00F3125F" w:rsidRDefault="00BC1C62" w:rsidP="00BC1C62">
      <w:pPr>
        <w:jc w:val="both"/>
        <w:rPr>
          <w:rFonts w:ascii="Gulliver" w:hAnsi="Gulliver"/>
          <w:b/>
          <w:bCs/>
        </w:rPr>
      </w:pPr>
      <w:r w:rsidRPr="00F3125F">
        <w:rPr>
          <w:rFonts w:ascii="Gulliver" w:hAnsi="Gulliver"/>
          <w:b/>
          <w:bCs/>
        </w:rPr>
        <w:t>Permission note</w:t>
      </w:r>
    </w:p>
    <w:p w14:paraId="4C587EA9" w14:textId="4B152920" w:rsidR="00BC1C62" w:rsidRDefault="00F3125F" w:rsidP="00BC1C62">
      <w:pPr>
        <w:jc w:val="both"/>
        <w:rPr>
          <w:rFonts w:ascii="Gulliver" w:hAnsi="Gulliver"/>
          <w:sz w:val="20"/>
          <w:szCs w:val="20"/>
        </w:rPr>
      </w:pPr>
      <w:r w:rsidRPr="00F3125F">
        <w:rPr>
          <w:rFonts w:ascii="Gulliver" w:hAnsi="Gulliver"/>
          <w:sz w:val="20"/>
          <w:szCs w:val="20"/>
        </w:rPr>
        <w:t>Permission has been obtained for the use of all data, figures, and references included in this study where necessary.</w:t>
      </w:r>
    </w:p>
    <w:p w14:paraId="389226C7" w14:textId="64B09406" w:rsidR="00BC1C62" w:rsidRPr="00F3125F" w:rsidRDefault="00BC1C62" w:rsidP="00BC1C62">
      <w:pPr>
        <w:jc w:val="both"/>
        <w:rPr>
          <w:rFonts w:ascii="Gulliver" w:hAnsi="Gulliver"/>
          <w:b/>
          <w:bCs/>
        </w:rPr>
      </w:pPr>
      <w:r w:rsidRPr="00F3125F">
        <w:rPr>
          <w:rFonts w:ascii="Gulliver" w:hAnsi="Gulliver"/>
          <w:b/>
          <w:bCs/>
        </w:rPr>
        <w:t>Declaration of competing interest</w:t>
      </w:r>
    </w:p>
    <w:p w14:paraId="652B891D" w14:textId="702820F1" w:rsidR="00BC1C62" w:rsidRDefault="00F3125F" w:rsidP="00BC1C62">
      <w:pPr>
        <w:jc w:val="both"/>
        <w:rPr>
          <w:rFonts w:ascii="Gulliver" w:hAnsi="Gulliver"/>
          <w:sz w:val="20"/>
          <w:szCs w:val="20"/>
        </w:rPr>
      </w:pPr>
      <w:r w:rsidRPr="00F3125F">
        <w:rPr>
          <w:rFonts w:ascii="Gulliver" w:hAnsi="Gulliver"/>
          <w:sz w:val="20"/>
          <w:szCs w:val="20"/>
        </w:rPr>
        <w:t>The authors declare no conflict of interest regarding the research, authorship, and publication of this manuscript.</w:t>
      </w:r>
    </w:p>
    <w:p w14:paraId="43D1AE77" w14:textId="5F2AA2F4" w:rsidR="00BC1C62" w:rsidRPr="00F3125F" w:rsidRDefault="00BC1C62" w:rsidP="00BC1C62">
      <w:pPr>
        <w:jc w:val="both"/>
        <w:rPr>
          <w:rFonts w:ascii="Gulliver" w:hAnsi="Gulliver"/>
          <w:b/>
          <w:bCs/>
        </w:rPr>
      </w:pPr>
      <w:r w:rsidRPr="00F3125F">
        <w:rPr>
          <w:rFonts w:ascii="Gulliver" w:hAnsi="Gulliver"/>
          <w:b/>
          <w:bCs/>
        </w:rPr>
        <w:t>Data availability</w:t>
      </w:r>
    </w:p>
    <w:p w14:paraId="0CE87091" w14:textId="77777777" w:rsidR="00DC663C" w:rsidRDefault="00F3125F" w:rsidP="00BC1C62">
      <w:pPr>
        <w:jc w:val="both"/>
        <w:rPr>
          <w:rFonts w:ascii="Gulliver" w:hAnsi="Gulliver"/>
          <w:sz w:val="20"/>
          <w:szCs w:val="20"/>
        </w:rPr>
        <w:sectPr w:rsidR="00DC663C" w:rsidSect="009D6955">
          <w:type w:val="continuous"/>
          <w:pgSz w:w="11907" w:h="16839"/>
          <w:pgMar w:top="1701" w:right="850" w:bottom="1701" w:left="851" w:header="709" w:footer="709" w:gutter="0"/>
          <w:pgNumType w:start="228"/>
          <w:cols w:num="2" w:space="284"/>
          <w:titlePg/>
          <w:docGrid w:linePitch="299"/>
        </w:sectPr>
      </w:pPr>
      <w:r w:rsidRPr="00F3125F">
        <w:rPr>
          <w:rFonts w:ascii="Gulliver" w:hAnsi="Gulliver"/>
          <w:sz w:val="20"/>
          <w:szCs w:val="20"/>
        </w:rPr>
        <w:t>The data supporting this study's findings are available upon reasonable request from the corresponding author. Due to confidentiality agreements, some data cannot be shared publicly</w:t>
      </w:r>
    </w:p>
    <w:p w14:paraId="01BA5737" w14:textId="10D66B8B" w:rsidR="00BC1C62" w:rsidRDefault="00BC1C62" w:rsidP="00BC1C62">
      <w:pPr>
        <w:jc w:val="both"/>
        <w:rPr>
          <w:rFonts w:ascii="Gulliver" w:hAnsi="Gulliver"/>
          <w:sz w:val="20"/>
          <w:szCs w:val="20"/>
        </w:rPr>
      </w:pPr>
    </w:p>
    <w:p w14:paraId="00725477" w14:textId="58F90E05" w:rsidR="00BC1C62" w:rsidRPr="00F3125F" w:rsidRDefault="00F3125F" w:rsidP="00BC1C62">
      <w:pPr>
        <w:jc w:val="both"/>
        <w:rPr>
          <w:rFonts w:ascii="Gulliver" w:hAnsi="Gulliver"/>
          <w:b/>
          <w:bCs/>
        </w:rPr>
      </w:pPr>
      <w:r w:rsidRPr="00F3125F">
        <w:rPr>
          <w:rFonts w:ascii="Gulliver" w:hAnsi="Gulliver"/>
          <w:b/>
          <w:bCs/>
        </w:rPr>
        <w:t>Appendix A. Definitions of Variables</w:t>
      </w:r>
    </w:p>
    <w:tbl>
      <w:tblPr>
        <w:tblW w:w="10348" w:type="dxa"/>
        <w:tblLook w:val="04A0" w:firstRow="1" w:lastRow="0" w:firstColumn="1" w:lastColumn="0" w:noHBand="0" w:noVBand="1"/>
      </w:tblPr>
      <w:tblGrid>
        <w:gridCol w:w="1800"/>
        <w:gridCol w:w="4863"/>
        <w:gridCol w:w="3685"/>
      </w:tblGrid>
      <w:tr w:rsidR="00F3125F" w:rsidRPr="00F3125F" w14:paraId="7E6EB1B9" w14:textId="77777777" w:rsidTr="00F3125F">
        <w:trPr>
          <w:trHeight w:val="300"/>
        </w:trPr>
        <w:tc>
          <w:tcPr>
            <w:tcW w:w="1800" w:type="dxa"/>
            <w:tcBorders>
              <w:top w:val="single" w:sz="4" w:space="0" w:color="auto"/>
              <w:left w:val="nil"/>
              <w:bottom w:val="single" w:sz="4" w:space="0" w:color="auto"/>
              <w:right w:val="nil"/>
            </w:tcBorders>
            <w:shd w:val="clear" w:color="auto" w:fill="auto"/>
            <w:vAlign w:val="center"/>
            <w:hideMark/>
          </w:tcPr>
          <w:p w14:paraId="0B6ABCD8" w14:textId="77777777" w:rsidR="00F3125F" w:rsidRPr="00F3125F" w:rsidRDefault="00F3125F" w:rsidP="00F3125F">
            <w:pPr>
              <w:spacing w:after="0" w:line="240" w:lineRule="auto"/>
              <w:jc w:val="center"/>
              <w:rPr>
                <w:rFonts w:ascii="Gulliver" w:eastAsia="Times New Roman" w:hAnsi="Gulliver" w:cs="Calibri"/>
                <w:b/>
                <w:bCs/>
                <w:color w:val="000000"/>
                <w:sz w:val="20"/>
                <w:szCs w:val="20"/>
                <w:lang w:eastAsia="en-ID"/>
              </w:rPr>
            </w:pPr>
            <w:r w:rsidRPr="00F3125F">
              <w:rPr>
                <w:rFonts w:ascii="Gulliver" w:eastAsia="Times New Roman" w:hAnsi="Gulliver" w:cs="Calibri"/>
                <w:b/>
                <w:bCs/>
                <w:color w:val="000000"/>
                <w:sz w:val="20"/>
                <w:szCs w:val="20"/>
                <w:lang w:eastAsia="en-ID"/>
              </w:rPr>
              <w:lastRenderedPageBreak/>
              <w:t>Variable Name</w:t>
            </w:r>
          </w:p>
        </w:tc>
        <w:tc>
          <w:tcPr>
            <w:tcW w:w="4863" w:type="dxa"/>
            <w:tcBorders>
              <w:top w:val="single" w:sz="4" w:space="0" w:color="auto"/>
              <w:left w:val="nil"/>
              <w:bottom w:val="single" w:sz="4" w:space="0" w:color="auto"/>
              <w:right w:val="nil"/>
            </w:tcBorders>
            <w:shd w:val="clear" w:color="auto" w:fill="auto"/>
            <w:vAlign w:val="center"/>
            <w:hideMark/>
          </w:tcPr>
          <w:p w14:paraId="18DB60CB" w14:textId="77777777" w:rsidR="00F3125F" w:rsidRPr="00F3125F" w:rsidRDefault="00F3125F" w:rsidP="00F3125F">
            <w:pPr>
              <w:spacing w:after="0" w:line="240" w:lineRule="auto"/>
              <w:jc w:val="center"/>
              <w:rPr>
                <w:rFonts w:ascii="Gulliver" w:eastAsia="Times New Roman" w:hAnsi="Gulliver" w:cs="Calibri"/>
                <w:b/>
                <w:bCs/>
                <w:color w:val="000000"/>
                <w:sz w:val="20"/>
                <w:szCs w:val="20"/>
                <w:lang w:eastAsia="en-ID"/>
              </w:rPr>
            </w:pPr>
            <w:r w:rsidRPr="00F3125F">
              <w:rPr>
                <w:rFonts w:ascii="Gulliver" w:eastAsia="Times New Roman" w:hAnsi="Gulliver" w:cs="Calibri"/>
                <w:b/>
                <w:bCs/>
                <w:color w:val="000000"/>
                <w:sz w:val="20"/>
                <w:szCs w:val="20"/>
                <w:lang w:eastAsia="en-ID"/>
              </w:rPr>
              <w:t>Definition</w:t>
            </w:r>
          </w:p>
        </w:tc>
        <w:tc>
          <w:tcPr>
            <w:tcW w:w="3685" w:type="dxa"/>
            <w:tcBorders>
              <w:top w:val="single" w:sz="4" w:space="0" w:color="auto"/>
              <w:left w:val="nil"/>
              <w:bottom w:val="single" w:sz="4" w:space="0" w:color="auto"/>
              <w:right w:val="nil"/>
            </w:tcBorders>
            <w:shd w:val="clear" w:color="auto" w:fill="auto"/>
            <w:vAlign w:val="center"/>
            <w:hideMark/>
          </w:tcPr>
          <w:p w14:paraId="331D19AC" w14:textId="77777777" w:rsidR="00F3125F" w:rsidRPr="00F3125F" w:rsidRDefault="00F3125F" w:rsidP="00F3125F">
            <w:pPr>
              <w:spacing w:after="0" w:line="240" w:lineRule="auto"/>
              <w:jc w:val="center"/>
              <w:rPr>
                <w:rFonts w:ascii="Gulliver" w:eastAsia="Times New Roman" w:hAnsi="Gulliver" w:cs="Calibri"/>
                <w:b/>
                <w:bCs/>
                <w:color w:val="000000"/>
                <w:sz w:val="20"/>
                <w:szCs w:val="20"/>
                <w:lang w:eastAsia="en-ID"/>
              </w:rPr>
            </w:pPr>
            <w:r w:rsidRPr="00F3125F">
              <w:rPr>
                <w:rFonts w:ascii="Gulliver" w:eastAsia="Times New Roman" w:hAnsi="Gulliver" w:cs="Calibri"/>
                <w:b/>
                <w:bCs/>
                <w:color w:val="000000"/>
                <w:sz w:val="20"/>
                <w:szCs w:val="20"/>
                <w:lang w:eastAsia="en-ID"/>
              </w:rPr>
              <w:t>Measurement</w:t>
            </w:r>
          </w:p>
        </w:tc>
      </w:tr>
      <w:tr w:rsidR="00F3125F" w:rsidRPr="00F3125F" w14:paraId="1DF20E67" w14:textId="77777777" w:rsidTr="00F3125F">
        <w:trPr>
          <w:trHeight w:val="900"/>
        </w:trPr>
        <w:tc>
          <w:tcPr>
            <w:tcW w:w="1800" w:type="dxa"/>
            <w:tcBorders>
              <w:top w:val="nil"/>
              <w:left w:val="nil"/>
              <w:bottom w:val="nil"/>
              <w:right w:val="nil"/>
            </w:tcBorders>
            <w:shd w:val="clear" w:color="auto" w:fill="auto"/>
            <w:vAlign w:val="center"/>
            <w:hideMark/>
          </w:tcPr>
          <w:p w14:paraId="77A50907" w14:textId="77777777" w:rsidR="00F3125F" w:rsidRPr="00EB3855" w:rsidRDefault="00F3125F" w:rsidP="00F3125F">
            <w:pPr>
              <w:spacing w:after="0" w:line="240" w:lineRule="auto"/>
              <w:rPr>
                <w:rFonts w:ascii="Gulliver" w:eastAsia="Times New Roman" w:hAnsi="Gulliver" w:cs="Calibri"/>
                <w:color w:val="000000"/>
                <w:sz w:val="20"/>
                <w:szCs w:val="20"/>
                <w:lang w:eastAsia="en-ID"/>
              </w:rPr>
            </w:pPr>
            <w:r w:rsidRPr="00EB3855">
              <w:rPr>
                <w:rFonts w:ascii="Gulliver" w:eastAsia="Times New Roman" w:hAnsi="Gulliver" w:cs="Calibri"/>
                <w:color w:val="000000"/>
                <w:sz w:val="20"/>
                <w:szCs w:val="20"/>
                <w:lang w:eastAsia="en-ID"/>
              </w:rPr>
              <w:t>AI/ML Adoption</w:t>
            </w:r>
          </w:p>
        </w:tc>
        <w:tc>
          <w:tcPr>
            <w:tcW w:w="4863" w:type="dxa"/>
            <w:tcBorders>
              <w:top w:val="nil"/>
              <w:left w:val="nil"/>
              <w:bottom w:val="nil"/>
              <w:right w:val="nil"/>
            </w:tcBorders>
            <w:shd w:val="clear" w:color="auto" w:fill="auto"/>
            <w:vAlign w:val="center"/>
            <w:hideMark/>
          </w:tcPr>
          <w:p w14:paraId="11585771"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Extent to which artificial intelligence and machine learning are utilized in marketing practices.</w:t>
            </w:r>
          </w:p>
        </w:tc>
        <w:tc>
          <w:tcPr>
            <w:tcW w:w="3685" w:type="dxa"/>
            <w:tcBorders>
              <w:top w:val="nil"/>
              <w:left w:val="nil"/>
              <w:bottom w:val="nil"/>
              <w:right w:val="nil"/>
            </w:tcBorders>
            <w:shd w:val="clear" w:color="auto" w:fill="auto"/>
            <w:vAlign w:val="center"/>
            <w:hideMark/>
          </w:tcPr>
          <w:p w14:paraId="051F544F"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Likert scale (1–5): Low to High Adoption</w:t>
            </w:r>
          </w:p>
        </w:tc>
      </w:tr>
      <w:tr w:rsidR="00F3125F" w:rsidRPr="00F3125F" w14:paraId="1EA8828C" w14:textId="77777777" w:rsidTr="00F3125F">
        <w:trPr>
          <w:trHeight w:val="900"/>
        </w:trPr>
        <w:tc>
          <w:tcPr>
            <w:tcW w:w="1800" w:type="dxa"/>
            <w:tcBorders>
              <w:top w:val="nil"/>
              <w:left w:val="nil"/>
              <w:bottom w:val="nil"/>
              <w:right w:val="nil"/>
            </w:tcBorders>
            <w:shd w:val="clear" w:color="auto" w:fill="auto"/>
            <w:vAlign w:val="center"/>
            <w:hideMark/>
          </w:tcPr>
          <w:p w14:paraId="6A1F45A1" w14:textId="77777777" w:rsidR="00F3125F" w:rsidRPr="00EB3855" w:rsidRDefault="00F3125F" w:rsidP="00F3125F">
            <w:pPr>
              <w:spacing w:after="0" w:line="240" w:lineRule="auto"/>
              <w:rPr>
                <w:rFonts w:ascii="Gulliver" w:eastAsia="Times New Roman" w:hAnsi="Gulliver" w:cs="Calibri"/>
                <w:color w:val="000000"/>
                <w:sz w:val="20"/>
                <w:szCs w:val="20"/>
                <w:lang w:eastAsia="en-ID"/>
              </w:rPr>
            </w:pPr>
            <w:r w:rsidRPr="00EB3855">
              <w:rPr>
                <w:rFonts w:ascii="Gulliver" w:eastAsia="Times New Roman" w:hAnsi="Gulliver" w:cs="Calibri"/>
                <w:color w:val="000000"/>
                <w:sz w:val="20"/>
                <w:szCs w:val="20"/>
                <w:lang w:eastAsia="en-ID"/>
              </w:rPr>
              <w:t>Prediction Accuracy</w:t>
            </w:r>
          </w:p>
        </w:tc>
        <w:tc>
          <w:tcPr>
            <w:tcW w:w="4863" w:type="dxa"/>
            <w:tcBorders>
              <w:top w:val="nil"/>
              <w:left w:val="nil"/>
              <w:bottom w:val="nil"/>
              <w:right w:val="nil"/>
            </w:tcBorders>
            <w:shd w:val="clear" w:color="auto" w:fill="auto"/>
            <w:vAlign w:val="center"/>
            <w:hideMark/>
          </w:tcPr>
          <w:p w14:paraId="4CBF24E1"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The degree of precision achieved in forecasting marketing outcomes using AI/ML methods.</w:t>
            </w:r>
          </w:p>
        </w:tc>
        <w:tc>
          <w:tcPr>
            <w:tcW w:w="3685" w:type="dxa"/>
            <w:tcBorders>
              <w:top w:val="nil"/>
              <w:left w:val="nil"/>
              <w:bottom w:val="nil"/>
              <w:right w:val="nil"/>
            </w:tcBorders>
            <w:shd w:val="clear" w:color="auto" w:fill="auto"/>
            <w:vAlign w:val="center"/>
            <w:hideMark/>
          </w:tcPr>
          <w:p w14:paraId="5BF69B16"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Measured by RMSE, MAE, or equivalent error metrics</w:t>
            </w:r>
          </w:p>
        </w:tc>
      </w:tr>
      <w:tr w:rsidR="00F3125F" w:rsidRPr="00F3125F" w14:paraId="28F75832" w14:textId="77777777" w:rsidTr="00F3125F">
        <w:trPr>
          <w:trHeight w:val="900"/>
        </w:trPr>
        <w:tc>
          <w:tcPr>
            <w:tcW w:w="1800" w:type="dxa"/>
            <w:tcBorders>
              <w:top w:val="nil"/>
              <w:left w:val="nil"/>
              <w:bottom w:val="nil"/>
              <w:right w:val="nil"/>
            </w:tcBorders>
            <w:shd w:val="clear" w:color="auto" w:fill="auto"/>
            <w:vAlign w:val="center"/>
            <w:hideMark/>
          </w:tcPr>
          <w:p w14:paraId="41A4E962" w14:textId="77777777" w:rsidR="00F3125F" w:rsidRPr="00EB3855" w:rsidRDefault="00F3125F" w:rsidP="00F3125F">
            <w:pPr>
              <w:spacing w:after="0" w:line="240" w:lineRule="auto"/>
              <w:rPr>
                <w:rFonts w:ascii="Gulliver" w:eastAsia="Times New Roman" w:hAnsi="Gulliver" w:cs="Calibri"/>
                <w:color w:val="000000"/>
                <w:sz w:val="20"/>
                <w:szCs w:val="20"/>
                <w:lang w:eastAsia="en-ID"/>
              </w:rPr>
            </w:pPr>
            <w:r w:rsidRPr="00EB3855">
              <w:rPr>
                <w:rFonts w:ascii="Gulliver" w:eastAsia="Times New Roman" w:hAnsi="Gulliver" w:cs="Calibri"/>
                <w:color w:val="000000"/>
                <w:sz w:val="20"/>
                <w:szCs w:val="20"/>
                <w:lang w:eastAsia="en-ID"/>
              </w:rPr>
              <w:t>Unstructured Data Insights</w:t>
            </w:r>
          </w:p>
        </w:tc>
        <w:tc>
          <w:tcPr>
            <w:tcW w:w="4863" w:type="dxa"/>
            <w:tcBorders>
              <w:top w:val="nil"/>
              <w:left w:val="nil"/>
              <w:bottom w:val="nil"/>
              <w:right w:val="nil"/>
            </w:tcBorders>
            <w:shd w:val="clear" w:color="auto" w:fill="auto"/>
            <w:vAlign w:val="center"/>
            <w:hideMark/>
          </w:tcPr>
          <w:p w14:paraId="6E9A3B1A"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The ability to derive actionable insights from complex and unstructured data sources using ML.</w:t>
            </w:r>
          </w:p>
        </w:tc>
        <w:tc>
          <w:tcPr>
            <w:tcW w:w="3685" w:type="dxa"/>
            <w:tcBorders>
              <w:top w:val="nil"/>
              <w:left w:val="nil"/>
              <w:bottom w:val="nil"/>
              <w:right w:val="nil"/>
            </w:tcBorders>
            <w:shd w:val="clear" w:color="auto" w:fill="auto"/>
            <w:vAlign w:val="center"/>
            <w:hideMark/>
          </w:tcPr>
          <w:p w14:paraId="2DDA40DE"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Likert scale (1–5): Low to High Insightfulness</w:t>
            </w:r>
          </w:p>
        </w:tc>
      </w:tr>
      <w:tr w:rsidR="00F3125F" w:rsidRPr="00F3125F" w14:paraId="32A612C1" w14:textId="77777777" w:rsidTr="00F3125F">
        <w:trPr>
          <w:trHeight w:val="900"/>
        </w:trPr>
        <w:tc>
          <w:tcPr>
            <w:tcW w:w="1800" w:type="dxa"/>
            <w:tcBorders>
              <w:top w:val="nil"/>
              <w:left w:val="nil"/>
              <w:bottom w:val="nil"/>
              <w:right w:val="nil"/>
            </w:tcBorders>
            <w:shd w:val="clear" w:color="auto" w:fill="auto"/>
            <w:vAlign w:val="center"/>
            <w:hideMark/>
          </w:tcPr>
          <w:p w14:paraId="33FF3DF2" w14:textId="77777777" w:rsidR="00F3125F" w:rsidRPr="00EB3855" w:rsidRDefault="00F3125F" w:rsidP="00F3125F">
            <w:pPr>
              <w:spacing w:after="0" w:line="240" w:lineRule="auto"/>
              <w:rPr>
                <w:rFonts w:ascii="Gulliver" w:eastAsia="Times New Roman" w:hAnsi="Gulliver" w:cs="Calibri"/>
                <w:color w:val="000000"/>
                <w:sz w:val="20"/>
                <w:szCs w:val="20"/>
                <w:lang w:eastAsia="en-ID"/>
              </w:rPr>
            </w:pPr>
            <w:r w:rsidRPr="00EB3855">
              <w:rPr>
                <w:rFonts w:ascii="Gulliver" w:eastAsia="Times New Roman" w:hAnsi="Gulliver" w:cs="Calibri"/>
                <w:color w:val="000000"/>
                <w:sz w:val="20"/>
                <w:szCs w:val="20"/>
                <w:lang w:eastAsia="en-ID"/>
              </w:rPr>
              <w:t>Transparent Analytics</w:t>
            </w:r>
          </w:p>
        </w:tc>
        <w:tc>
          <w:tcPr>
            <w:tcW w:w="4863" w:type="dxa"/>
            <w:tcBorders>
              <w:top w:val="nil"/>
              <w:left w:val="nil"/>
              <w:bottom w:val="nil"/>
              <w:right w:val="nil"/>
            </w:tcBorders>
            <w:shd w:val="clear" w:color="auto" w:fill="auto"/>
            <w:vAlign w:val="center"/>
            <w:hideMark/>
          </w:tcPr>
          <w:p w14:paraId="61F84733"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Degree of transparency in descriptive, causal, and prescriptive analytics achieved with AI models.</w:t>
            </w:r>
          </w:p>
        </w:tc>
        <w:tc>
          <w:tcPr>
            <w:tcW w:w="3685" w:type="dxa"/>
            <w:tcBorders>
              <w:top w:val="nil"/>
              <w:left w:val="nil"/>
              <w:bottom w:val="nil"/>
              <w:right w:val="nil"/>
            </w:tcBorders>
            <w:shd w:val="clear" w:color="auto" w:fill="auto"/>
            <w:vAlign w:val="center"/>
            <w:hideMark/>
          </w:tcPr>
          <w:p w14:paraId="0CD06B03"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Likert scale (1–5): Low to High Transparency</w:t>
            </w:r>
          </w:p>
        </w:tc>
      </w:tr>
      <w:tr w:rsidR="00F3125F" w:rsidRPr="00F3125F" w14:paraId="67504205" w14:textId="77777777" w:rsidTr="00F3125F">
        <w:trPr>
          <w:trHeight w:val="900"/>
        </w:trPr>
        <w:tc>
          <w:tcPr>
            <w:tcW w:w="1800" w:type="dxa"/>
            <w:tcBorders>
              <w:top w:val="nil"/>
              <w:left w:val="nil"/>
              <w:bottom w:val="nil"/>
              <w:right w:val="nil"/>
            </w:tcBorders>
            <w:shd w:val="clear" w:color="auto" w:fill="auto"/>
            <w:vAlign w:val="center"/>
            <w:hideMark/>
          </w:tcPr>
          <w:p w14:paraId="282A4697" w14:textId="77777777" w:rsidR="00F3125F" w:rsidRPr="00EB3855" w:rsidRDefault="00F3125F" w:rsidP="00F3125F">
            <w:pPr>
              <w:spacing w:after="0" w:line="240" w:lineRule="auto"/>
              <w:rPr>
                <w:rFonts w:ascii="Gulliver" w:eastAsia="Times New Roman" w:hAnsi="Gulliver" w:cs="Calibri"/>
                <w:color w:val="000000"/>
                <w:sz w:val="20"/>
                <w:szCs w:val="20"/>
                <w:lang w:eastAsia="en-ID"/>
              </w:rPr>
            </w:pPr>
            <w:r w:rsidRPr="00EB3855">
              <w:rPr>
                <w:rFonts w:ascii="Gulliver" w:eastAsia="Times New Roman" w:hAnsi="Gulliver" w:cs="Calibri"/>
                <w:color w:val="000000"/>
                <w:sz w:val="20"/>
                <w:szCs w:val="20"/>
                <w:lang w:eastAsia="en-ID"/>
              </w:rPr>
              <w:t>Human-AI Integration</w:t>
            </w:r>
          </w:p>
        </w:tc>
        <w:tc>
          <w:tcPr>
            <w:tcW w:w="4863" w:type="dxa"/>
            <w:tcBorders>
              <w:top w:val="nil"/>
              <w:left w:val="nil"/>
              <w:bottom w:val="nil"/>
              <w:right w:val="nil"/>
            </w:tcBorders>
            <w:shd w:val="clear" w:color="auto" w:fill="auto"/>
            <w:vAlign w:val="center"/>
            <w:hideMark/>
          </w:tcPr>
          <w:p w14:paraId="78E2C57A"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The extent of human insights incorporated into AI-driven marketing decisions.</w:t>
            </w:r>
          </w:p>
        </w:tc>
        <w:tc>
          <w:tcPr>
            <w:tcW w:w="3685" w:type="dxa"/>
            <w:tcBorders>
              <w:top w:val="nil"/>
              <w:left w:val="nil"/>
              <w:bottom w:val="nil"/>
              <w:right w:val="nil"/>
            </w:tcBorders>
            <w:shd w:val="clear" w:color="auto" w:fill="auto"/>
            <w:vAlign w:val="center"/>
            <w:hideMark/>
          </w:tcPr>
          <w:p w14:paraId="2EBEC31F"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Likert scale (1–5): Minimal to Comprehensive Integration</w:t>
            </w:r>
          </w:p>
        </w:tc>
      </w:tr>
      <w:tr w:rsidR="00F3125F" w:rsidRPr="00F3125F" w14:paraId="1B6D9909" w14:textId="77777777" w:rsidTr="00F3125F">
        <w:trPr>
          <w:trHeight w:val="900"/>
        </w:trPr>
        <w:tc>
          <w:tcPr>
            <w:tcW w:w="1800" w:type="dxa"/>
            <w:tcBorders>
              <w:top w:val="nil"/>
              <w:left w:val="nil"/>
              <w:bottom w:val="nil"/>
              <w:right w:val="nil"/>
            </w:tcBorders>
            <w:shd w:val="clear" w:color="auto" w:fill="auto"/>
            <w:vAlign w:val="center"/>
            <w:hideMark/>
          </w:tcPr>
          <w:p w14:paraId="0D0197C8" w14:textId="77777777" w:rsidR="00F3125F" w:rsidRPr="00EB3855" w:rsidRDefault="00F3125F" w:rsidP="00F3125F">
            <w:pPr>
              <w:spacing w:after="0" w:line="240" w:lineRule="auto"/>
              <w:rPr>
                <w:rFonts w:ascii="Gulliver" w:eastAsia="Times New Roman" w:hAnsi="Gulliver" w:cs="Calibri"/>
                <w:color w:val="000000"/>
                <w:sz w:val="20"/>
                <w:szCs w:val="20"/>
                <w:lang w:eastAsia="en-ID"/>
              </w:rPr>
            </w:pPr>
            <w:r w:rsidRPr="00EB3855">
              <w:rPr>
                <w:rFonts w:ascii="Gulliver" w:eastAsia="Times New Roman" w:hAnsi="Gulliver" w:cs="Calibri"/>
                <w:color w:val="000000"/>
                <w:sz w:val="20"/>
                <w:szCs w:val="20"/>
                <w:lang w:eastAsia="en-ID"/>
              </w:rPr>
              <w:t>Customer Journey Mapping</w:t>
            </w:r>
          </w:p>
        </w:tc>
        <w:tc>
          <w:tcPr>
            <w:tcW w:w="4863" w:type="dxa"/>
            <w:tcBorders>
              <w:top w:val="nil"/>
              <w:left w:val="nil"/>
              <w:bottom w:val="nil"/>
              <w:right w:val="nil"/>
            </w:tcBorders>
            <w:shd w:val="clear" w:color="auto" w:fill="auto"/>
            <w:vAlign w:val="center"/>
            <w:hideMark/>
          </w:tcPr>
          <w:p w14:paraId="11287E98"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Effectiveness of AI in identifying and optimizing touchpoints in the customer journey.</w:t>
            </w:r>
          </w:p>
        </w:tc>
        <w:tc>
          <w:tcPr>
            <w:tcW w:w="3685" w:type="dxa"/>
            <w:tcBorders>
              <w:top w:val="nil"/>
              <w:left w:val="nil"/>
              <w:bottom w:val="nil"/>
              <w:right w:val="nil"/>
            </w:tcBorders>
            <w:shd w:val="clear" w:color="auto" w:fill="auto"/>
            <w:vAlign w:val="center"/>
            <w:hideMark/>
          </w:tcPr>
          <w:p w14:paraId="598D43C4"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Likert scale (1–5): Ineffective to Highly Effective Mapping</w:t>
            </w:r>
          </w:p>
        </w:tc>
      </w:tr>
      <w:tr w:rsidR="00F3125F" w:rsidRPr="00F3125F" w14:paraId="440048F5" w14:textId="77777777" w:rsidTr="00F3125F">
        <w:trPr>
          <w:trHeight w:val="600"/>
        </w:trPr>
        <w:tc>
          <w:tcPr>
            <w:tcW w:w="1800" w:type="dxa"/>
            <w:tcBorders>
              <w:top w:val="nil"/>
              <w:left w:val="nil"/>
              <w:bottom w:val="single" w:sz="4" w:space="0" w:color="auto"/>
              <w:right w:val="nil"/>
            </w:tcBorders>
            <w:shd w:val="clear" w:color="auto" w:fill="auto"/>
            <w:vAlign w:val="center"/>
            <w:hideMark/>
          </w:tcPr>
          <w:p w14:paraId="5694B826" w14:textId="77777777" w:rsidR="00F3125F" w:rsidRPr="00EB3855" w:rsidRDefault="00F3125F" w:rsidP="00F3125F">
            <w:pPr>
              <w:spacing w:after="0" w:line="240" w:lineRule="auto"/>
              <w:rPr>
                <w:rFonts w:ascii="Gulliver" w:eastAsia="Times New Roman" w:hAnsi="Gulliver" w:cs="Calibri"/>
                <w:color w:val="000000"/>
                <w:sz w:val="20"/>
                <w:szCs w:val="20"/>
                <w:lang w:eastAsia="en-ID"/>
              </w:rPr>
            </w:pPr>
            <w:r w:rsidRPr="00EB3855">
              <w:rPr>
                <w:rFonts w:ascii="Gulliver" w:eastAsia="Times New Roman" w:hAnsi="Gulliver" w:cs="Calibri"/>
                <w:color w:val="000000"/>
                <w:sz w:val="20"/>
                <w:szCs w:val="20"/>
                <w:lang w:eastAsia="en-ID"/>
              </w:rPr>
              <w:t>Ethical AI Practices</w:t>
            </w:r>
          </w:p>
        </w:tc>
        <w:tc>
          <w:tcPr>
            <w:tcW w:w="4863" w:type="dxa"/>
            <w:tcBorders>
              <w:top w:val="nil"/>
              <w:left w:val="nil"/>
              <w:bottom w:val="single" w:sz="4" w:space="0" w:color="auto"/>
              <w:right w:val="nil"/>
            </w:tcBorders>
            <w:shd w:val="clear" w:color="auto" w:fill="auto"/>
            <w:vAlign w:val="center"/>
            <w:hideMark/>
          </w:tcPr>
          <w:p w14:paraId="22696764"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Adherence to ethical guidelines in AI-driven marketing activities.</w:t>
            </w:r>
          </w:p>
        </w:tc>
        <w:tc>
          <w:tcPr>
            <w:tcW w:w="3685" w:type="dxa"/>
            <w:tcBorders>
              <w:top w:val="nil"/>
              <w:left w:val="nil"/>
              <w:bottom w:val="single" w:sz="4" w:space="0" w:color="auto"/>
              <w:right w:val="nil"/>
            </w:tcBorders>
            <w:shd w:val="clear" w:color="auto" w:fill="auto"/>
            <w:vAlign w:val="center"/>
            <w:hideMark/>
          </w:tcPr>
          <w:p w14:paraId="40B03C26" w14:textId="77777777" w:rsidR="00F3125F" w:rsidRPr="00F3125F" w:rsidRDefault="00F3125F" w:rsidP="00F3125F">
            <w:pPr>
              <w:spacing w:after="0" w:line="240" w:lineRule="auto"/>
              <w:jc w:val="both"/>
              <w:rPr>
                <w:rFonts w:ascii="Gulliver" w:eastAsia="Times New Roman" w:hAnsi="Gulliver" w:cs="Calibri"/>
                <w:color w:val="000000"/>
                <w:sz w:val="20"/>
                <w:szCs w:val="20"/>
                <w:lang w:eastAsia="en-ID"/>
              </w:rPr>
            </w:pPr>
            <w:r w:rsidRPr="00F3125F">
              <w:rPr>
                <w:rFonts w:ascii="Gulliver" w:eastAsia="Times New Roman" w:hAnsi="Gulliver" w:cs="Calibri"/>
                <w:color w:val="000000"/>
                <w:sz w:val="20"/>
                <w:szCs w:val="20"/>
                <w:lang w:eastAsia="en-ID"/>
              </w:rPr>
              <w:t>Likert scale (1–5): Poor to Excellent Practices</w:t>
            </w:r>
          </w:p>
        </w:tc>
      </w:tr>
    </w:tbl>
    <w:p w14:paraId="54091B52" w14:textId="77777777" w:rsidR="00EB3855" w:rsidRDefault="00EB3855" w:rsidP="00EB3855">
      <w:pPr>
        <w:jc w:val="both"/>
        <w:rPr>
          <w:rFonts w:ascii="Gulliver" w:hAnsi="Gulliver"/>
          <w:b/>
          <w:bCs/>
          <w:sz w:val="20"/>
          <w:szCs w:val="20"/>
        </w:rPr>
      </w:pPr>
    </w:p>
    <w:p w14:paraId="4511890A" w14:textId="11BE7E89" w:rsidR="00EB3855" w:rsidRDefault="00EB3855" w:rsidP="00EB3855">
      <w:pPr>
        <w:jc w:val="both"/>
        <w:rPr>
          <w:rFonts w:ascii="Gulliver" w:hAnsi="Gulliver"/>
          <w:sz w:val="20"/>
          <w:szCs w:val="20"/>
        </w:rPr>
      </w:pPr>
      <w:r w:rsidRPr="00EB3855">
        <w:rPr>
          <w:rFonts w:ascii="Gulliver" w:hAnsi="Gulliver"/>
          <w:b/>
          <w:bCs/>
          <w:color w:val="1F3864" w:themeColor="accent1" w:themeShade="80"/>
          <w:sz w:val="20"/>
          <w:szCs w:val="20"/>
        </w:rPr>
        <w:t>Table 1:</w:t>
      </w:r>
      <w:r w:rsidRPr="00EB3855">
        <w:rPr>
          <w:rFonts w:ascii="Gulliver" w:hAnsi="Gulliver"/>
          <w:color w:val="1F3864" w:themeColor="accent1" w:themeShade="80"/>
          <w:sz w:val="20"/>
          <w:szCs w:val="20"/>
        </w:rPr>
        <w:t xml:space="preserve"> </w:t>
      </w:r>
      <w:r w:rsidRPr="00C27454">
        <w:rPr>
          <w:rFonts w:ascii="Gulliver" w:hAnsi="Gulliver"/>
          <w:sz w:val="20"/>
          <w:szCs w:val="20"/>
        </w:rPr>
        <w:t>Research Sample Details</w:t>
      </w:r>
    </w:p>
    <w:tbl>
      <w:tblPr>
        <w:tblW w:w="10348" w:type="dxa"/>
        <w:tblLook w:val="04A0" w:firstRow="1" w:lastRow="0" w:firstColumn="1" w:lastColumn="0" w:noHBand="0" w:noVBand="1"/>
      </w:tblPr>
      <w:tblGrid>
        <w:gridCol w:w="5103"/>
        <w:gridCol w:w="5245"/>
      </w:tblGrid>
      <w:tr w:rsidR="00EB3855" w:rsidRPr="00C27454" w14:paraId="51240C7F" w14:textId="77777777" w:rsidTr="004F00FE">
        <w:trPr>
          <w:trHeight w:val="300"/>
        </w:trPr>
        <w:tc>
          <w:tcPr>
            <w:tcW w:w="5103" w:type="dxa"/>
            <w:tcBorders>
              <w:top w:val="single" w:sz="4" w:space="0" w:color="auto"/>
              <w:left w:val="nil"/>
              <w:bottom w:val="single" w:sz="4" w:space="0" w:color="auto"/>
              <w:right w:val="nil"/>
            </w:tcBorders>
            <w:shd w:val="clear" w:color="auto" w:fill="auto"/>
            <w:vAlign w:val="center"/>
            <w:hideMark/>
          </w:tcPr>
          <w:p w14:paraId="4CC32F2E" w14:textId="77777777" w:rsidR="00EB3855" w:rsidRPr="00C27454" w:rsidRDefault="00EB3855" w:rsidP="004F00FE">
            <w:pPr>
              <w:spacing w:after="0" w:line="240" w:lineRule="auto"/>
              <w:jc w:val="center"/>
              <w:rPr>
                <w:rFonts w:ascii="Gulliver" w:eastAsia="Times New Roman" w:hAnsi="Gulliver" w:cs="Calibri"/>
                <w:b/>
                <w:bCs/>
                <w:color w:val="000000"/>
                <w:sz w:val="20"/>
                <w:szCs w:val="20"/>
                <w:lang w:eastAsia="en-ID"/>
              </w:rPr>
            </w:pPr>
            <w:r w:rsidRPr="00C27454">
              <w:rPr>
                <w:rFonts w:ascii="Gulliver" w:eastAsia="Times New Roman" w:hAnsi="Gulliver" w:cs="Calibri"/>
                <w:b/>
                <w:bCs/>
                <w:color w:val="000000"/>
                <w:sz w:val="20"/>
                <w:szCs w:val="20"/>
                <w:lang w:eastAsia="en-ID"/>
              </w:rPr>
              <w:t>Category</w:t>
            </w:r>
          </w:p>
        </w:tc>
        <w:tc>
          <w:tcPr>
            <w:tcW w:w="5245" w:type="dxa"/>
            <w:tcBorders>
              <w:top w:val="single" w:sz="4" w:space="0" w:color="auto"/>
              <w:left w:val="nil"/>
              <w:bottom w:val="single" w:sz="4" w:space="0" w:color="auto"/>
              <w:right w:val="nil"/>
            </w:tcBorders>
            <w:shd w:val="clear" w:color="auto" w:fill="auto"/>
            <w:vAlign w:val="center"/>
            <w:hideMark/>
          </w:tcPr>
          <w:p w14:paraId="76F5DCC9" w14:textId="77777777" w:rsidR="00EB3855" w:rsidRPr="00C27454" w:rsidRDefault="00EB3855" w:rsidP="004F00FE">
            <w:pPr>
              <w:spacing w:after="0" w:line="240" w:lineRule="auto"/>
              <w:jc w:val="center"/>
              <w:rPr>
                <w:rFonts w:ascii="Gulliver" w:eastAsia="Times New Roman" w:hAnsi="Gulliver" w:cs="Calibri"/>
                <w:b/>
                <w:bCs/>
                <w:color w:val="000000"/>
                <w:sz w:val="20"/>
                <w:szCs w:val="20"/>
                <w:lang w:eastAsia="en-ID"/>
              </w:rPr>
            </w:pPr>
            <w:r w:rsidRPr="00C27454">
              <w:rPr>
                <w:rFonts w:ascii="Gulliver" w:eastAsia="Times New Roman" w:hAnsi="Gulliver" w:cs="Calibri"/>
                <w:b/>
                <w:bCs/>
                <w:color w:val="000000"/>
                <w:sz w:val="20"/>
                <w:szCs w:val="20"/>
                <w:lang w:eastAsia="en-ID"/>
              </w:rPr>
              <w:t>Details</w:t>
            </w:r>
          </w:p>
        </w:tc>
      </w:tr>
      <w:tr w:rsidR="00EB3855" w:rsidRPr="00C27454" w14:paraId="38B24F50" w14:textId="77777777" w:rsidTr="004F00FE">
        <w:trPr>
          <w:trHeight w:val="300"/>
        </w:trPr>
        <w:tc>
          <w:tcPr>
            <w:tcW w:w="5103" w:type="dxa"/>
            <w:tcBorders>
              <w:top w:val="nil"/>
              <w:left w:val="nil"/>
              <w:bottom w:val="nil"/>
              <w:right w:val="nil"/>
            </w:tcBorders>
            <w:shd w:val="clear" w:color="auto" w:fill="auto"/>
            <w:vAlign w:val="center"/>
            <w:hideMark/>
          </w:tcPr>
          <w:p w14:paraId="6F00392E" w14:textId="77777777" w:rsidR="00EB3855" w:rsidRPr="00C27454" w:rsidRDefault="00EB3855" w:rsidP="004F00FE">
            <w:pPr>
              <w:spacing w:after="0" w:line="240" w:lineRule="auto"/>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Population</w:t>
            </w:r>
          </w:p>
        </w:tc>
        <w:tc>
          <w:tcPr>
            <w:tcW w:w="5245" w:type="dxa"/>
            <w:tcBorders>
              <w:top w:val="nil"/>
              <w:left w:val="nil"/>
              <w:bottom w:val="nil"/>
              <w:right w:val="nil"/>
            </w:tcBorders>
            <w:shd w:val="clear" w:color="auto" w:fill="auto"/>
            <w:vAlign w:val="center"/>
            <w:hideMark/>
          </w:tcPr>
          <w:p w14:paraId="769E79C4"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Australian marketing professionals and organizations</w:t>
            </w:r>
          </w:p>
        </w:tc>
      </w:tr>
      <w:tr w:rsidR="00EB3855" w:rsidRPr="00C27454" w14:paraId="43533DBC" w14:textId="77777777" w:rsidTr="004F00FE">
        <w:trPr>
          <w:trHeight w:val="300"/>
        </w:trPr>
        <w:tc>
          <w:tcPr>
            <w:tcW w:w="5103" w:type="dxa"/>
            <w:tcBorders>
              <w:top w:val="nil"/>
              <w:left w:val="nil"/>
              <w:bottom w:val="nil"/>
              <w:right w:val="nil"/>
            </w:tcBorders>
            <w:shd w:val="clear" w:color="auto" w:fill="auto"/>
            <w:vAlign w:val="center"/>
            <w:hideMark/>
          </w:tcPr>
          <w:p w14:paraId="2B997453" w14:textId="77777777" w:rsidR="00EB3855" w:rsidRPr="00C27454" w:rsidRDefault="00EB3855" w:rsidP="004F00FE">
            <w:pPr>
              <w:spacing w:after="0" w:line="240" w:lineRule="auto"/>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Sampling Technique</w:t>
            </w:r>
          </w:p>
        </w:tc>
        <w:tc>
          <w:tcPr>
            <w:tcW w:w="5245" w:type="dxa"/>
            <w:tcBorders>
              <w:top w:val="nil"/>
              <w:left w:val="nil"/>
              <w:bottom w:val="nil"/>
              <w:right w:val="nil"/>
            </w:tcBorders>
            <w:shd w:val="clear" w:color="auto" w:fill="auto"/>
            <w:vAlign w:val="center"/>
            <w:hideMark/>
          </w:tcPr>
          <w:p w14:paraId="391059D6"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Purposive Sampling</w:t>
            </w:r>
          </w:p>
        </w:tc>
      </w:tr>
      <w:tr w:rsidR="00EB3855" w:rsidRPr="00C27454" w14:paraId="6ABCFEE1" w14:textId="77777777" w:rsidTr="004F00FE">
        <w:trPr>
          <w:trHeight w:val="300"/>
        </w:trPr>
        <w:tc>
          <w:tcPr>
            <w:tcW w:w="5103" w:type="dxa"/>
            <w:tcBorders>
              <w:top w:val="nil"/>
              <w:left w:val="nil"/>
              <w:bottom w:val="nil"/>
              <w:right w:val="nil"/>
            </w:tcBorders>
            <w:shd w:val="clear" w:color="auto" w:fill="auto"/>
            <w:vAlign w:val="center"/>
            <w:hideMark/>
          </w:tcPr>
          <w:p w14:paraId="6B742AB6" w14:textId="77777777" w:rsidR="00EB3855" w:rsidRPr="00C27454" w:rsidRDefault="00EB3855" w:rsidP="004F00FE">
            <w:pPr>
              <w:spacing w:after="0" w:line="240" w:lineRule="auto"/>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Sample Size</w:t>
            </w:r>
          </w:p>
        </w:tc>
        <w:tc>
          <w:tcPr>
            <w:tcW w:w="5245" w:type="dxa"/>
            <w:tcBorders>
              <w:top w:val="nil"/>
              <w:left w:val="nil"/>
              <w:bottom w:val="nil"/>
              <w:right w:val="nil"/>
            </w:tcBorders>
            <w:shd w:val="clear" w:color="auto" w:fill="auto"/>
            <w:vAlign w:val="center"/>
            <w:hideMark/>
          </w:tcPr>
          <w:p w14:paraId="62978B04"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300 respondents</w:t>
            </w:r>
          </w:p>
        </w:tc>
      </w:tr>
      <w:tr w:rsidR="00EB3855" w:rsidRPr="00C27454" w14:paraId="6B0E3134" w14:textId="77777777" w:rsidTr="004F00FE">
        <w:trPr>
          <w:trHeight w:val="300"/>
        </w:trPr>
        <w:tc>
          <w:tcPr>
            <w:tcW w:w="5103" w:type="dxa"/>
            <w:tcBorders>
              <w:top w:val="nil"/>
              <w:left w:val="nil"/>
              <w:bottom w:val="nil"/>
              <w:right w:val="nil"/>
            </w:tcBorders>
            <w:shd w:val="clear" w:color="auto" w:fill="auto"/>
            <w:vAlign w:val="center"/>
            <w:hideMark/>
          </w:tcPr>
          <w:p w14:paraId="6F8AE330" w14:textId="77777777" w:rsidR="00EB3855" w:rsidRPr="00C27454" w:rsidRDefault="00EB3855" w:rsidP="004F00FE">
            <w:pPr>
              <w:spacing w:after="0" w:line="240" w:lineRule="auto"/>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Timeframe</w:t>
            </w:r>
          </w:p>
        </w:tc>
        <w:tc>
          <w:tcPr>
            <w:tcW w:w="5245" w:type="dxa"/>
            <w:tcBorders>
              <w:top w:val="nil"/>
              <w:left w:val="nil"/>
              <w:bottom w:val="nil"/>
              <w:right w:val="nil"/>
            </w:tcBorders>
            <w:shd w:val="clear" w:color="auto" w:fill="auto"/>
            <w:vAlign w:val="center"/>
            <w:hideMark/>
          </w:tcPr>
          <w:p w14:paraId="3E3AA664"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2022–2023</w:t>
            </w:r>
          </w:p>
        </w:tc>
      </w:tr>
      <w:tr w:rsidR="00EB3855" w:rsidRPr="00C27454" w14:paraId="0B050BBA" w14:textId="77777777" w:rsidTr="004F00FE">
        <w:trPr>
          <w:trHeight w:val="300"/>
        </w:trPr>
        <w:tc>
          <w:tcPr>
            <w:tcW w:w="5103" w:type="dxa"/>
            <w:tcBorders>
              <w:top w:val="nil"/>
              <w:left w:val="nil"/>
              <w:bottom w:val="single" w:sz="4" w:space="0" w:color="auto"/>
              <w:right w:val="nil"/>
            </w:tcBorders>
            <w:shd w:val="clear" w:color="auto" w:fill="auto"/>
            <w:vAlign w:val="center"/>
            <w:hideMark/>
          </w:tcPr>
          <w:p w14:paraId="1A8280CB" w14:textId="77777777" w:rsidR="00EB3855" w:rsidRPr="00C27454" w:rsidRDefault="00EB3855" w:rsidP="004F00FE">
            <w:pPr>
              <w:spacing w:after="0" w:line="240" w:lineRule="auto"/>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Data Sources</w:t>
            </w:r>
          </w:p>
        </w:tc>
        <w:tc>
          <w:tcPr>
            <w:tcW w:w="5245" w:type="dxa"/>
            <w:tcBorders>
              <w:top w:val="nil"/>
              <w:left w:val="nil"/>
              <w:bottom w:val="single" w:sz="4" w:space="0" w:color="auto"/>
              <w:right w:val="nil"/>
            </w:tcBorders>
            <w:shd w:val="clear" w:color="auto" w:fill="auto"/>
            <w:vAlign w:val="center"/>
            <w:hideMark/>
          </w:tcPr>
          <w:p w14:paraId="1B93AA9D"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Surveys, performance metrics, firm-level reports</w:t>
            </w:r>
          </w:p>
        </w:tc>
      </w:tr>
    </w:tbl>
    <w:p w14:paraId="5B9F8502" w14:textId="77777777" w:rsidR="00EB3855" w:rsidRPr="00C27454" w:rsidRDefault="00EB3855" w:rsidP="00EB3855">
      <w:pPr>
        <w:jc w:val="both"/>
        <w:rPr>
          <w:rFonts w:ascii="Gulliver" w:hAnsi="Gulliver"/>
          <w:i/>
          <w:iCs/>
          <w:sz w:val="16"/>
          <w:szCs w:val="16"/>
        </w:rPr>
      </w:pPr>
      <w:r w:rsidRPr="00C27454">
        <w:rPr>
          <w:rFonts w:ascii="Gulliver" w:hAnsi="Gulliver"/>
          <w:i/>
          <w:iCs/>
          <w:sz w:val="16"/>
          <w:szCs w:val="16"/>
        </w:rPr>
        <w:t>Source data; processed by the author in observation 2024</w:t>
      </w:r>
    </w:p>
    <w:p w14:paraId="62D6D004" w14:textId="77777777" w:rsidR="00EB3855" w:rsidRDefault="00EB3855" w:rsidP="00EB3855">
      <w:pPr>
        <w:spacing w:before="240"/>
        <w:rPr>
          <w:rFonts w:ascii="Gulliver" w:hAnsi="Gulliver"/>
          <w:sz w:val="20"/>
          <w:szCs w:val="20"/>
        </w:rPr>
      </w:pPr>
      <w:r w:rsidRPr="00EB3855">
        <w:rPr>
          <w:rFonts w:ascii="Gulliver" w:hAnsi="Gulliver"/>
          <w:b/>
          <w:bCs/>
          <w:color w:val="1F3864" w:themeColor="accent1" w:themeShade="80"/>
          <w:sz w:val="20"/>
          <w:szCs w:val="20"/>
        </w:rPr>
        <w:t>Table 2:</w:t>
      </w:r>
      <w:r w:rsidRPr="00EB3855">
        <w:rPr>
          <w:rFonts w:ascii="Gulliver" w:hAnsi="Gulliver"/>
          <w:color w:val="1F3864" w:themeColor="accent1" w:themeShade="80"/>
          <w:sz w:val="20"/>
          <w:szCs w:val="20"/>
        </w:rPr>
        <w:t xml:space="preserve"> </w:t>
      </w:r>
      <w:r w:rsidRPr="00C27454">
        <w:rPr>
          <w:rFonts w:ascii="Gulliver" w:hAnsi="Gulliver"/>
          <w:sz w:val="20"/>
          <w:szCs w:val="20"/>
        </w:rPr>
        <w:t>Instrument Variables</w:t>
      </w:r>
    </w:p>
    <w:tbl>
      <w:tblPr>
        <w:tblW w:w="10380" w:type="dxa"/>
        <w:tblLook w:val="04A0" w:firstRow="1" w:lastRow="0" w:firstColumn="1" w:lastColumn="0" w:noHBand="0" w:noVBand="1"/>
      </w:tblPr>
      <w:tblGrid>
        <w:gridCol w:w="2268"/>
        <w:gridCol w:w="2835"/>
        <w:gridCol w:w="3137"/>
        <w:gridCol w:w="2140"/>
      </w:tblGrid>
      <w:tr w:rsidR="00EB3855" w:rsidRPr="00C27454" w14:paraId="68179F39" w14:textId="77777777" w:rsidTr="004F00FE">
        <w:trPr>
          <w:trHeight w:val="300"/>
        </w:trPr>
        <w:tc>
          <w:tcPr>
            <w:tcW w:w="2268" w:type="dxa"/>
            <w:tcBorders>
              <w:top w:val="single" w:sz="4" w:space="0" w:color="auto"/>
              <w:left w:val="nil"/>
              <w:bottom w:val="single" w:sz="4" w:space="0" w:color="auto"/>
              <w:right w:val="nil"/>
            </w:tcBorders>
            <w:shd w:val="clear" w:color="auto" w:fill="auto"/>
            <w:vAlign w:val="center"/>
            <w:hideMark/>
          </w:tcPr>
          <w:p w14:paraId="65F71D84" w14:textId="77777777" w:rsidR="00EB3855" w:rsidRPr="00C27454" w:rsidRDefault="00EB3855" w:rsidP="004F00FE">
            <w:pPr>
              <w:spacing w:after="0" w:line="240" w:lineRule="auto"/>
              <w:jc w:val="center"/>
              <w:rPr>
                <w:rFonts w:ascii="Gulliver" w:eastAsia="Times New Roman" w:hAnsi="Gulliver" w:cs="Calibri"/>
                <w:b/>
                <w:bCs/>
                <w:color w:val="000000"/>
                <w:sz w:val="20"/>
                <w:szCs w:val="20"/>
                <w:lang w:eastAsia="en-ID"/>
              </w:rPr>
            </w:pPr>
            <w:r w:rsidRPr="00C27454">
              <w:rPr>
                <w:rFonts w:ascii="Gulliver" w:eastAsia="Times New Roman" w:hAnsi="Gulliver" w:cs="Calibri"/>
                <w:b/>
                <w:bCs/>
                <w:color w:val="000000"/>
                <w:sz w:val="20"/>
                <w:szCs w:val="20"/>
                <w:lang w:eastAsia="en-ID"/>
              </w:rPr>
              <w:t>Variable</w:t>
            </w:r>
          </w:p>
        </w:tc>
        <w:tc>
          <w:tcPr>
            <w:tcW w:w="2835" w:type="dxa"/>
            <w:tcBorders>
              <w:top w:val="single" w:sz="4" w:space="0" w:color="auto"/>
              <w:left w:val="nil"/>
              <w:bottom w:val="single" w:sz="4" w:space="0" w:color="auto"/>
              <w:right w:val="nil"/>
            </w:tcBorders>
            <w:shd w:val="clear" w:color="auto" w:fill="auto"/>
            <w:vAlign w:val="center"/>
            <w:hideMark/>
          </w:tcPr>
          <w:p w14:paraId="543438A7" w14:textId="77777777" w:rsidR="00EB3855" w:rsidRPr="00C27454" w:rsidRDefault="00EB3855" w:rsidP="004F00FE">
            <w:pPr>
              <w:spacing w:after="0" w:line="240" w:lineRule="auto"/>
              <w:jc w:val="center"/>
              <w:rPr>
                <w:rFonts w:ascii="Gulliver" w:eastAsia="Times New Roman" w:hAnsi="Gulliver" w:cs="Calibri"/>
                <w:b/>
                <w:bCs/>
                <w:color w:val="000000"/>
                <w:sz w:val="20"/>
                <w:szCs w:val="20"/>
                <w:lang w:eastAsia="en-ID"/>
              </w:rPr>
            </w:pPr>
            <w:r w:rsidRPr="00C27454">
              <w:rPr>
                <w:rFonts w:ascii="Gulliver" w:eastAsia="Times New Roman" w:hAnsi="Gulliver" w:cs="Calibri"/>
                <w:b/>
                <w:bCs/>
                <w:color w:val="000000"/>
                <w:sz w:val="20"/>
                <w:szCs w:val="20"/>
                <w:lang w:eastAsia="en-ID"/>
              </w:rPr>
              <w:t>Definition</w:t>
            </w:r>
          </w:p>
        </w:tc>
        <w:tc>
          <w:tcPr>
            <w:tcW w:w="3137" w:type="dxa"/>
            <w:tcBorders>
              <w:top w:val="single" w:sz="4" w:space="0" w:color="auto"/>
              <w:left w:val="nil"/>
              <w:bottom w:val="single" w:sz="4" w:space="0" w:color="auto"/>
              <w:right w:val="nil"/>
            </w:tcBorders>
            <w:shd w:val="clear" w:color="auto" w:fill="auto"/>
            <w:vAlign w:val="center"/>
            <w:hideMark/>
          </w:tcPr>
          <w:p w14:paraId="726E477D" w14:textId="77777777" w:rsidR="00EB3855" w:rsidRPr="00C27454" w:rsidRDefault="00EB3855" w:rsidP="004F00FE">
            <w:pPr>
              <w:spacing w:after="0" w:line="240" w:lineRule="auto"/>
              <w:jc w:val="center"/>
              <w:rPr>
                <w:rFonts w:ascii="Gulliver" w:eastAsia="Times New Roman" w:hAnsi="Gulliver" w:cs="Calibri"/>
                <w:b/>
                <w:bCs/>
                <w:color w:val="000000"/>
                <w:sz w:val="20"/>
                <w:szCs w:val="20"/>
                <w:lang w:eastAsia="en-ID"/>
              </w:rPr>
            </w:pPr>
            <w:r w:rsidRPr="00C27454">
              <w:rPr>
                <w:rFonts w:ascii="Gulliver" w:eastAsia="Times New Roman" w:hAnsi="Gulliver" w:cs="Calibri"/>
                <w:b/>
                <w:bCs/>
                <w:color w:val="000000"/>
                <w:sz w:val="20"/>
                <w:szCs w:val="20"/>
                <w:lang w:eastAsia="en-ID"/>
              </w:rPr>
              <w:t>Measurement Items</w:t>
            </w:r>
          </w:p>
        </w:tc>
        <w:tc>
          <w:tcPr>
            <w:tcW w:w="2140" w:type="dxa"/>
            <w:tcBorders>
              <w:top w:val="single" w:sz="4" w:space="0" w:color="auto"/>
              <w:left w:val="nil"/>
              <w:bottom w:val="single" w:sz="4" w:space="0" w:color="auto"/>
              <w:right w:val="nil"/>
            </w:tcBorders>
            <w:shd w:val="clear" w:color="auto" w:fill="auto"/>
            <w:vAlign w:val="center"/>
            <w:hideMark/>
          </w:tcPr>
          <w:p w14:paraId="0BB98B09" w14:textId="77777777" w:rsidR="00EB3855" w:rsidRPr="00C27454" w:rsidRDefault="00EB3855" w:rsidP="004F00FE">
            <w:pPr>
              <w:spacing w:after="0" w:line="240" w:lineRule="auto"/>
              <w:jc w:val="center"/>
              <w:rPr>
                <w:rFonts w:ascii="Gulliver" w:eastAsia="Times New Roman" w:hAnsi="Gulliver" w:cs="Calibri"/>
                <w:b/>
                <w:bCs/>
                <w:color w:val="000000"/>
                <w:sz w:val="20"/>
                <w:szCs w:val="20"/>
                <w:lang w:eastAsia="en-ID"/>
              </w:rPr>
            </w:pPr>
            <w:r w:rsidRPr="00C27454">
              <w:rPr>
                <w:rFonts w:ascii="Gulliver" w:eastAsia="Times New Roman" w:hAnsi="Gulliver" w:cs="Calibri"/>
                <w:b/>
                <w:bCs/>
                <w:color w:val="000000"/>
                <w:sz w:val="20"/>
                <w:szCs w:val="20"/>
                <w:lang w:eastAsia="en-ID"/>
              </w:rPr>
              <w:t>Source</w:t>
            </w:r>
          </w:p>
        </w:tc>
      </w:tr>
      <w:tr w:rsidR="00EB3855" w:rsidRPr="00C27454" w14:paraId="76BFD643" w14:textId="77777777" w:rsidTr="004F00FE">
        <w:trPr>
          <w:trHeight w:val="600"/>
        </w:trPr>
        <w:tc>
          <w:tcPr>
            <w:tcW w:w="2268" w:type="dxa"/>
            <w:tcBorders>
              <w:top w:val="nil"/>
              <w:left w:val="nil"/>
              <w:bottom w:val="nil"/>
              <w:right w:val="nil"/>
            </w:tcBorders>
            <w:shd w:val="clear" w:color="auto" w:fill="auto"/>
            <w:vAlign w:val="center"/>
            <w:hideMark/>
          </w:tcPr>
          <w:p w14:paraId="6D444E6E"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Prediction Accuracy</w:t>
            </w:r>
          </w:p>
        </w:tc>
        <w:tc>
          <w:tcPr>
            <w:tcW w:w="2835" w:type="dxa"/>
            <w:tcBorders>
              <w:top w:val="nil"/>
              <w:left w:val="nil"/>
              <w:bottom w:val="nil"/>
              <w:right w:val="nil"/>
            </w:tcBorders>
            <w:shd w:val="clear" w:color="auto" w:fill="auto"/>
            <w:vAlign w:val="center"/>
            <w:hideMark/>
          </w:tcPr>
          <w:p w14:paraId="7081D469"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Improvement in forecasting marketing outcomes</w:t>
            </w:r>
          </w:p>
        </w:tc>
        <w:tc>
          <w:tcPr>
            <w:tcW w:w="3137" w:type="dxa"/>
            <w:tcBorders>
              <w:top w:val="nil"/>
              <w:left w:val="nil"/>
              <w:bottom w:val="nil"/>
              <w:right w:val="nil"/>
            </w:tcBorders>
            <w:shd w:val="clear" w:color="auto" w:fill="auto"/>
            <w:vAlign w:val="center"/>
            <w:hideMark/>
          </w:tcPr>
          <w:p w14:paraId="3FBEA320"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Accuracy, reliability, consistency</w:t>
            </w:r>
          </w:p>
        </w:tc>
        <w:tc>
          <w:tcPr>
            <w:tcW w:w="2140" w:type="dxa"/>
            <w:tcBorders>
              <w:top w:val="nil"/>
              <w:left w:val="nil"/>
              <w:bottom w:val="nil"/>
              <w:right w:val="nil"/>
            </w:tcBorders>
            <w:shd w:val="clear" w:color="auto" w:fill="auto"/>
            <w:vAlign w:val="center"/>
            <w:hideMark/>
          </w:tcPr>
          <w:p w14:paraId="0F84DA85"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Cui &amp; Curry (2019)</w:t>
            </w:r>
          </w:p>
        </w:tc>
      </w:tr>
      <w:tr w:rsidR="00EB3855" w:rsidRPr="00C27454" w14:paraId="03F10C0F" w14:textId="77777777" w:rsidTr="004F00FE">
        <w:trPr>
          <w:trHeight w:val="600"/>
        </w:trPr>
        <w:tc>
          <w:tcPr>
            <w:tcW w:w="2268" w:type="dxa"/>
            <w:tcBorders>
              <w:top w:val="nil"/>
              <w:left w:val="nil"/>
              <w:bottom w:val="nil"/>
              <w:right w:val="nil"/>
            </w:tcBorders>
            <w:shd w:val="clear" w:color="auto" w:fill="auto"/>
            <w:vAlign w:val="center"/>
            <w:hideMark/>
          </w:tcPr>
          <w:p w14:paraId="388BC027"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Insights from Data</w:t>
            </w:r>
          </w:p>
        </w:tc>
        <w:tc>
          <w:tcPr>
            <w:tcW w:w="2835" w:type="dxa"/>
            <w:tcBorders>
              <w:top w:val="nil"/>
              <w:left w:val="nil"/>
              <w:bottom w:val="nil"/>
              <w:right w:val="nil"/>
            </w:tcBorders>
            <w:shd w:val="clear" w:color="auto" w:fill="auto"/>
            <w:vAlign w:val="center"/>
            <w:hideMark/>
          </w:tcPr>
          <w:p w14:paraId="64575CBA"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Effectiveness in extracting actionable insights</w:t>
            </w:r>
          </w:p>
        </w:tc>
        <w:tc>
          <w:tcPr>
            <w:tcW w:w="3137" w:type="dxa"/>
            <w:tcBorders>
              <w:top w:val="nil"/>
              <w:left w:val="nil"/>
              <w:bottom w:val="nil"/>
              <w:right w:val="nil"/>
            </w:tcBorders>
            <w:shd w:val="clear" w:color="auto" w:fill="auto"/>
            <w:vAlign w:val="center"/>
            <w:hideMark/>
          </w:tcPr>
          <w:p w14:paraId="068D2D21"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Relevance, depth, novelty</w:t>
            </w:r>
          </w:p>
        </w:tc>
        <w:tc>
          <w:tcPr>
            <w:tcW w:w="2140" w:type="dxa"/>
            <w:tcBorders>
              <w:top w:val="nil"/>
              <w:left w:val="nil"/>
              <w:bottom w:val="nil"/>
              <w:right w:val="nil"/>
            </w:tcBorders>
            <w:shd w:val="clear" w:color="auto" w:fill="auto"/>
            <w:vAlign w:val="center"/>
            <w:hideMark/>
          </w:tcPr>
          <w:p w14:paraId="7109117E"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proofErr w:type="spellStart"/>
            <w:r w:rsidRPr="00C27454">
              <w:rPr>
                <w:rFonts w:ascii="Gulliver" w:eastAsia="Times New Roman" w:hAnsi="Gulliver" w:cs="Calibri"/>
                <w:color w:val="000000"/>
                <w:sz w:val="20"/>
                <w:szCs w:val="20"/>
                <w:lang w:eastAsia="en-ID"/>
              </w:rPr>
              <w:t>Tirunillai</w:t>
            </w:r>
            <w:proofErr w:type="spellEnd"/>
            <w:r w:rsidRPr="00C27454">
              <w:rPr>
                <w:rFonts w:ascii="Gulliver" w:eastAsia="Times New Roman" w:hAnsi="Gulliver" w:cs="Calibri"/>
                <w:color w:val="000000"/>
                <w:sz w:val="20"/>
                <w:szCs w:val="20"/>
                <w:lang w:eastAsia="en-ID"/>
              </w:rPr>
              <w:t xml:space="preserve"> &amp; </w:t>
            </w:r>
            <w:proofErr w:type="spellStart"/>
            <w:r w:rsidRPr="00C27454">
              <w:rPr>
                <w:rFonts w:ascii="Gulliver" w:eastAsia="Times New Roman" w:hAnsi="Gulliver" w:cs="Calibri"/>
                <w:color w:val="000000"/>
                <w:sz w:val="20"/>
                <w:szCs w:val="20"/>
                <w:lang w:eastAsia="en-ID"/>
              </w:rPr>
              <w:t>Tellis</w:t>
            </w:r>
            <w:proofErr w:type="spellEnd"/>
            <w:r w:rsidRPr="00C27454">
              <w:rPr>
                <w:rFonts w:ascii="Gulliver" w:eastAsia="Times New Roman" w:hAnsi="Gulliver" w:cs="Calibri"/>
                <w:color w:val="000000"/>
                <w:sz w:val="20"/>
                <w:szCs w:val="20"/>
                <w:lang w:eastAsia="en-ID"/>
              </w:rPr>
              <w:t xml:space="preserve"> (2020)</w:t>
            </w:r>
          </w:p>
        </w:tc>
      </w:tr>
      <w:tr w:rsidR="00EB3855" w:rsidRPr="00C27454" w14:paraId="2ADE391A" w14:textId="77777777" w:rsidTr="004F00FE">
        <w:trPr>
          <w:trHeight w:val="142"/>
        </w:trPr>
        <w:tc>
          <w:tcPr>
            <w:tcW w:w="2268" w:type="dxa"/>
            <w:tcBorders>
              <w:top w:val="nil"/>
              <w:left w:val="nil"/>
              <w:bottom w:val="nil"/>
              <w:right w:val="nil"/>
            </w:tcBorders>
            <w:shd w:val="clear" w:color="auto" w:fill="auto"/>
            <w:vAlign w:val="center"/>
            <w:hideMark/>
          </w:tcPr>
          <w:p w14:paraId="51684389"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Transparent Analysis</w:t>
            </w:r>
          </w:p>
        </w:tc>
        <w:tc>
          <w:tcPr>
            <w:tcW w:w="2835" w:type="dxa"/>
            <w:tcBorders>
              <w:top w:val="nil"/>
              <w:left w:val="nil"/>
              <w:bottom w:val="nil"/>
              <w:right w:val="nil"/>
            </w:tcBorders>
            <w:shd w:val="clear" w:color="auto" w:fill="auto"/>
            <w:vAlign w:val="center"/>
            <w:hideMark/>
          </w:tcPr>
          <w:p w14:paraId="27F3BF6E"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Causal and prescriptive interpretability of models</w:t>
            </w:r>
          </w:p>
        </w:tc>
        <w:tc>
          <w:tcPr>
            <w:tcW w:w="3137" w:type="dxa"/>
            <w:tcBorders>
              <w:top w:val="nil"/>
              <w:left w:val="nil"/>
              <w:bottom w:val="nil"/>
              <w:right w:val="nil"/>
            </w:tcBorders>
            <w:shd w:val="clear" w:color="auto" w:fill="auto"/>
            <w:vAlign w:val="center"/>
            <w:hideMark/>
          </w:tcPr>
          <w:p w14:paraId="4D039E93"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Clarity, transparency, applicability</w:t>
            </w:r>
          </w:p>
        </w:tc>
        <w:tc>
          <w:tcPr>
            <w:tcW w:w="2140" w:type="dxa"/>
            <w:tcBorders>
              <w:top w:val="nil"/>
              <w:left w:val="nil"/>
              <w:bottom w:val="nil"/>
              <w:right w:val="nil"/>
            </w:tcBorders>
            <w:shd w:val="clear" w:color="auto" w:fill="auto"/>
            <w:vAlign w:val="center"/>
            <w:hideMark/>
          </w:tcPr>
          <w:p w14:paraId="1EE74F69"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proofErr w:type="spellStart"/>
            <w:r w:rsidRPr="00C27454">
              <w:rPr>
                <w:rFonts w:ascii="Gulliver" w:eastAsia="Times New Roman" w:hAnsi="Gulliver" w:cs="Calibri"/>
                <w:color w:val="000000"/>
                <w:sz w:val="20"/>
                <w:szCs w:val="20"/>
                <w:lang w:eastAsia="en-ID"/>
              </w:rPr>
              <w:t>Athey</w:t>
            </w:r>
            <w:proofErr w:type="spellEnd"/>
            <w:r w:rsidRPr="00C27454">
              <w:rPr>
                <w:rFonts w:ascii="Gulliver" w:eastAsia="Times New Roman" w:hAnsi="Gulliver" w:cs="Calibri"/>
                <w:color w:val="000000"/>
                <w:sz w:val="20"/>
                <w:szCs w:val="20"/>
                <w:lang w:eastAsia="en-ID"/>
              </w:rPr>
              <w:t xml:space="preserve"> &amp; </w:t>
            </w:r>
            <w:proofErr w:type="spellStart"/>
            <w:r w:rsidRPr="00C27454">
              <w:rPr>
                <w:rFonts w:ascii="Gulliver" w:eastAsia="Times New Roman" w:hAnsi="Gulliver" w:cs="Calibri"/>
                <w:color w:val="000000"/>
                <w:sz w:val="20"/>
                <w:szCs w:val="20"/>
                <w:lang w:eastAsia="en-ID"/>
              </w:rPr>
              <w:t>Imbens</w:t>
            </w:r>
            <w:proofErr w:type="spellEnd"/>
            <w:r w:rsidRPr="00C27454">
              <w:rPr>
                <w:rFonts w:ascii="Gulliver" w:eastAsia="Times New Roman" w:hAnsi="Gulliver" w:cs="Calibri"/>
                <w:color w:val="000000"/>
                <w:sz w:val="20"/>
                <w:szCs w:val="20"/>
                <w:lang w:eastAsia="en-ID"/>
              </w:rPr>
              <w:t xml:space="preserve"> (2019)</w:t>
            </w:r>
          </w:p>
        </w:tc>
      </w:tr>
      <w:tr w:rsidR="00EB3855" w:rsidRPr="00C27454" w14:paraId="6D572E22" w14:textId="77777777" w:rsidTr="004F00FE">
        <w:trPr>
          <w:trHeight w:val="152"/>
        </w:trPr>
        <w:tc>
          <w:tcPr>
            <w:tcW w:w="2268" w:type="dxa"/>
            <w:tcBorders>
              <w:top w:val="nil"/>
              <w:left w:val="nil"/>
              <w:bottom w:val="nil"/>
              <w:right w:val="nil"/>
            </w:tcBorders>
            <w:shd w:val="clear" w:color="auto" w:fill="auto"/>
            <w:vAlign w:val="center"/>
            <w:hideMark/>
          </w:tcPr>
          <w:p w14:paraId="2A4158A3"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Human-AI Integration</w:t>
            </w:r>
          </w:p>
        </w:tc>
        <w:tc>
          <w:tcPr>
            <w:tcW w:w="2835" w:type="dxa"/>
            <w:tcBorders>
              <w:top w:val="nil"/>
              <w:left w:val="nil"/>
              <w:bottom w:val="nil"/>
              <w:right w:val="nil"/>
            </w:tcBorders>
            <w:shd w:val="clear" w:color="auto" w:fill="auto"/>
            <w:vAlign w:val="center"/>
            <w:hideMark/>
          </w:tcPr>
          <w:p w14:paraId="27F235EA"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Synergy between human insights and AI applications</w:t>
            </w:r>
          </w:p>
        </w:tc>
        <w:tc>
          <w:tcPr>
            <w:tcW w:w="3137" w:type="dxa"/>
            <w:tcBorders>
              <w:top w:val="nil"/>
              <w:left w:val="nil"/>
              <w:bottom w:val="nil"/>
              <w:right w:val="nil"/>
            </w:tcBorders>
            <w:shd w:val="clear" w:color="auto" w:fill="auto"/>
            <w:vAlign w:val="center"/>
            <w:hideMark/>
          </w:tcPr>
          <w:p w14:paraId="120B1D8A"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Collaboration, decision enhancement</w:t>
            </w:r>
          </w:p>
        </w:tc>
        <w:tc>
          <w:tcPr>
            <w:tcW w:w="2140" w:type="dxa"/>
            <w:tcBorders>
              <w:top w:val="nil"/>
              <w:left w:val="nil"/>
              <w:bottom w:val="nil"/>
              <w:right w:val="nil"/>
            </w:tcBorders>
            <w:shd w:val="clear" w:color="auto" w:fill="auto"/>
            <w:vAlign w:val="center"/>
            <w:hideMark/>
          </w:tcPr>
          <w:p w14:paraId="4F78EE34"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Rust &amp; Huang (2021)</w:t>
            </w:r>
          </w:p>
        </w:tc>
      </w:tr>
      <w:tr w:rsidR="00EB3855" w:rsidRPr="00C27454" w14:paraId="777D0918" w14:textId="77777777" w:rsidTr="004F00FE">
        <w:trPr>
          <w:trHeight w:val="480"/>
        </w:trPr>
        <w:tc>
          <w:tcPr>
            <w:tcW w:w="2268" w:type="dxa"/>
            <w:tcBorders>
              <w:top w:val="nil"/>
              <w:left w:val="nil"/>
              <w:bottom w:val="single" w:sz="4" w:space="0" w:color="auto"/>
              <w:right w:val="nil"/>
            </w:tcBorders>
            <w:shd w:val="clear" w:color="auto" w:fill="auto"/>
            <w:vAlign w:val="center"/>
            <w:hideMark/>
          </w:tcPr>
          <w:p w14:paraId="4491C81C"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Customer Journey Mapping</w:t>
            </w:r>
          </w:p>
        </w:tc>
        <w:tc>
          <w:tcPr>
            <w:tcW w:w="2835" w:type="dxa"/>
            <w:tcBorders>
              <w:top w:val="nil"/>
              <w:left w:val="nil"/>
              <w:bottom w:val="single" w:sz="4" w:space="0" w:color="auto"/>
              <w:right w:val="nil"/>
            </w:tcBorders>
            <w:shd w:val="clear" w:color="auto" w:fill="auto"/>
            <w:vAlign w:val="center"/>
            <w:hideMark/>
          </w:tcPr>
          <w:p w14:paraId="27B6BA75"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Effectiveness of mapping and optimizing interactions</w:t>
            </w:r>
          </w:p>
        </w:tc>
        <w:tc>
          <w:tcPr>
            <w:tcW w:w="3137" w:type="dxa"/>
            <w:tcBorders>
              <w:top w:val="nil"/>
              <w:left w:val="nil"/>
              <w:bottom w:val="single" w:sz="4" w:space="0" w:color="auto"/>
              <w:right w:val="nil"/>
            </w:tcBorders>
            <w:shd w:val="clear" w:color="auto" w:fill="auto"/>
            <w:vAlign w:val="center"/>
            <w:hideMark/>
          </w:tcPr>
          <w:p w14:paraId="281BDDA4"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Timeliness, personalization, engagement</w:t>
            </w:r>
          </w:p>
        </w:tc>
        <w:tc>
          <w:tcPr>
            <w:tcW w:w="2140" w:type="dxa"/>
            <w:tcBorders>
              <w:top w:val="nil"/>
              <w:left w:val="nil"/>
              <w:bottom w:val="single" w:sz="4" w:space="0" w:color="auto"/>
              <w:right w:val="nil"/>
            </w:tcBorders>
            <w:shd w:val="clear" w:color="auto" w:fill="auto"/>
            <w:vAlign w:val="center"/>
            <w:hideMark/>
          </w:tcPr>
          <w:p w14:paraId="5012ACD3" w14:textId="77777777" w:rsidR="00EB3855" w:rsidRPr="00C27454" w:rsidRDefault="00EB3855" w:rsidP="004F00FE">
            <w:pPr>
              <w:spacing w:after="0" w:line="240" w:lineRule="auto"/>
              <w:jc w:val="both"/>
              <w:rPr>
                <w:rFonts w:ascii="Gulliver" w:eastAsia="Times New Roman" w:hAnsi="Gulliver" w:cs="Calibri"/>
                <w:color w:val="000000"/>
                <w:sz w:val="20"/>
                <w:szCs w:val="20"/>
                <w:lang w:eastAsia="en-ID"/>
              </w:rPr>
            </w:pPr>
            <w:r w:rsidRPr="00C27454">
              <w:rPr>
                <w:rFonts w:ascii="Gulliver" w:eastAsia="Times New Roman" w:hAnsi="Gulliver" w:cs="Calibri"/>
                <w:color w:val="000000"/>
                <w:sz w:val="20"/>
                <w:szCs w:val="20"/>
                <w:lang w:eastAsia="en-ID"/>
              </w:rPr>
              <w:t xml:space="preserve">Sutton &amp; </w:t>
            </w:r>
            <w:proofErr w:type="spellStart"/>
            <w:r w:rsidRPr="00C27454">
              <w:rPr>
                <w:rFonts w:ascii="Gulliver" w:eastAsia="Times New Roman" w:hAnsi="Gulliver" w:cs="Calibri"/>
                <w:color w:val="000000"/>
                <w:sz w:val="20"/>
                <w:szCs w:val="20"/>
                <w:lang w:eastAsia="en-ID"/>
              </w:rPr>
              <w:t>Barto</w:t>
            </w:r>
            <w:proofErr w:type="spellEnd"/>
            <w:r w:rsidRPr="00C27454">
              <w:rPr>
                <w:rFonts w:ascii="Gulliver" w:eastAsia="Times New Roman" w:hAnsi="Gulliver" w:cs="Calibri"/>
                <w:color w:val="000000"/>
                <w:sz w:val="20"/>
                <w:szCs w:val="20"/>
                <w:lang w:eastAsia="en-ID"/>
              </w:rPr>
              <w:t xml:space="preserve"> (2018)</w:t>
            </w:r>
          </w:p>
        </w:tc>
      </w:tr>
    </w:tbl>
    <w:p w14:paraId="0E8D6E8D" w14:textId="3D1749D0" w:rsidR="00EB3855" w:rsidRPr="00EB3855" w:rsidRDefault="00EB3855" w:rsidP="00EB3855">
      <w:pPr>
        <w:jc w:val="both"/>
        <w:rPr>
          <w:rFonts w:ascii="Gulliver" w:hAnsi="Gulliver"/>
          <w:i/>
          <w:iCs/>
          <w:sz w:val="16"/>
          <w:szCs w:val="16"/>
        </w:rPr>
      </w:pPr>
      <w:r w:rsidRPr="00C27454">
        <w:rPr>
          <w:rFonts w:ascii="Gulliver" w:hAnsi="Gulliver"/>
          <w:i/>
          <w:iCs/>
          <w:sz w:val="16"/>
          <w:szCs w:val="16"/>
        </w:rPr>
        <w:t>Source data; processed by the author in observation 2024</w:t>
      </w:r>
    </w:p>
    <w:p w14:paraId="5B364DA4" w14:textId="2600FA42" w:rsidR="00EB3855" w:rsidRDefault="00EB3855" w:rsidP="00EB3855">
      <w:pPr>
        <w:spacing w:before="240"/>
        <w:rPr>
          <w:rFonts w:ascii="Gulliver" w:hAnsi="Gulliver"/>
          <w:sz w:val="20"/>
          <w:szCs w:val="20"/>
        </w:rPr>
      </w:pPr>
      <w:r w:rsidRPr="00EB3855">
        <w:rPr>
          <w:rFonts w:ascii="Gulliver" w:hAnsi="Gulliver"/>
          <w:b/>
          <w:bCs/>
          <w:color w:val="1F3864" w:themeColor="accent1" w:themeShade="80"/>
          <w:sz w:val="20"/>
          <w:szCs w:val="20"/>
        </w:rPr>
        <w:lastRenderedPageBreak/>
        <w:t>Table 3:</w:t>
      </w:r>
      <w:r w:rsidRPr="00F85E6D">
        <w:rPr>
          <w:rFonts w:ascii="Gulliver" w:hAnsi="Gulliver"/>
          <w:sz w:val="20"/>
          <w:szCs w:val="20"/>
        </w:rPr>
        <w:t xml:space="preserve"> Respondent Demographics</w:t>
      </w:r>
    </w:p>
    <w:tbl>
      <w:tblPr>
        <w:tblW w:w="10348" w:type="dxa"/>
        <w:tblLook w:val="04A0" w:firstRow="1" w:lastRow="0" w:firstColumn="1" w:lastColumn="0" w:noHBand="0" w:noVBand="1"/>
      </w:tblPr>
      <w:tblGrid>
        <w:gridCol w:w="5080"/>
        <w:gridCol w:w="1720"/>
        <w:gridCol w:w="3548"/>
      </w:tblGrid>
      <w:tr w:rsidR="00EB3855" w:rsidRPr="00F85E6D" w14:paraId="1BB2989D" w14:textId="77777777" w:rsidTr="00EB3855">
        <w:trPr>
          <w:trHeight w:val="300"/>
          <w:tblHeader/>
        </w:trPr>
        <w:tc>
          <w:tcPr>
            <w:tcW w:w="5080" w:type="dxa"/>
            <w:tcBorders>
              <w:top w:val="single" w:sz="4" w:space="0" w:color="auto"/>
              <w:left w:val="nil"/>
              <w:bottom w:val="single" w:sz="4" w:space="0" w:color="auto"/>
              <w:right w:val="nil"/>
            </w:tcBorders>
            <w:shd w:val="clear" w:color="auto" w:fill="auto"/>
            <w:vAlign w:val="center"/>
            <w:hideMark/>
          </w:tcPr>
          <w:p w14:paraId="4D4D79F9"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Characteristic</w:t>
            </w:r>
          </w:p>
        </w:tc>
        <w:tc>
          <w:tcPr>
            <w:tcW w:w="1720" w:type="dxa"/>
            <w:tcBorders>
              <w:top w:val="single" w:sz="4" w:space="0" w:color="auto"/>
              <w:left w:val="nil"/>
              <w:bottom w:val="single" w:sz="4" w:space="0" w:color="auto"/>
              <w:right w:val="nil"/>
            </w:tcBorders>
            <w:shd w:val="clear" w:color="auto" w:fill="auto"/>
            <w:vAlign w:val="center"/>
            <w:hideMark/>
          </w:tcPr>
          <w:p w14:paraId="304D26CA"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Frequency</w:t>
            </w:r>
          </w:p>
        </w:tc>
        <w:tc>
          <w:tcPr>
            <w:tcW w:w="3548" w:type="dxa"/>
            <w:tcBorders>
              <w:top w:val="single" w:sz="4" w:space="0" w:color="auto"/>
              <w:left w:val="nil"/>
              <w:bottom w:val="single" w:sz="4" w:space="0" w:color="auto"/>
              <w:right w:val="nil"/>
            </w:tcBorders>
            <w:shd w:val="clear" w:color="auto" w:fill="auto"/>
            <w:vAlign w:val="center"/>
            <w:hideMark/>
          </w:tcPr>
          <w:p w14:paraId="1AD5EB5A"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Percentage (%)</w:t>
            </w:r>
          </w:p>
        </w:tc>
      </w:tr>
      <w:tr w:rsidR="00EB3855" w:rsidRPr="00F85E6D" w14:paraId="735FE61C" w14:textId="77777777" w:rsidTr="00EB3855">
        <w:trPr>
          <w:trHeight w:val="300"/>
        </w:trPr>
        <w:tc>
          <w:tcPr>
            <w:tcW w:w="5080" w:type="dxa"/>
            <w:tcBorders>
              <w:top w:val="nil"/>
              <w:left w:val="nil"/>
              <w:bottom w:val="nil"/>
              <w:right w:val="nil"/>
            </w:tcBorders>
            <w:shd w:val="clear" w:color="auto" w:fill="auto"/>
            <w:vAlign w:val="center"/>
            <w:hideMark/>
          </w:tcPr>
          <w:p w14:paraId="2D958C5D" w14:textId="77777777" w:rsidR="00EB3855" w:rsidRPr="00F85E6D" w:rsidRDefault="00EB3855" w:rsidP="004F00FE">
            <w:pPr>
              <w:spacing w:after="0" w:line="240" w:lineRule="auto"/>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Gender</w:t>
            </w:r>
          </w:p>
        </w:tc>
        <w:tc>
          <w:tcPr>
            <w:tcW w:w="1720" w:type="dxa"/>
            <w:tcBorders>
              <w:top w:val="nil"/>
              <w:left w:val="nil"/>
              <w:bottom w:val="nil"/>
              <w:right w:val="nil"/>
            </w:tcBorders>
            <w:shd w:val="clear" w:color="auto" w:fill="auto"/>
            <w:vAlign w:val="center"/>
            <w:hideMark/>
          </w:tcPr>
          <w:p w14:paraId="5D3690A5" w14:textId="77777777" w:rsidR="00EB3855" w:rsidRPr="00F85E6D" w:rsidRDefault="00EB3855" w:rsidP="004F00FE">
            <w:pPr>
              <w:spacing w:after="0" w:line="240" w:lineRule="auto"/>
              <w:rPr>
                <w:rFonts w:ascii="Gulliver" w:eastAsia="Times New Roman" w:hAnsi="Gulliver" w:cs="Calibri"/>
                <w:b/>
                <w:bCs/>
                <w:color w:val="000000"/>
                <w:sz w:val="20"/>
                <w:szCs w:val="20"/>
                <w:lang w:eastAsia="en-ID"/>
              </w:rPr>
            </w:pPr>
          </w:p>
        </w:tc>
        <w:tc>
          <w:tcPr>
            <w:tcW w:w="3548" w:type="dxa"/>
            <w:tcBorders>
              <w:top w:val="nil"/>
              <w:left w:val="nil"/>
              <w:bottom w:val="nil"/>
              <w:right w:val="nil"/>
            </w:tcBorders>
            <w:shd w:val="clear" w:color="auto" w:fill="auto"/>
            <w:vAlign w:val="center"/>
            <w:hideMark/>
          </w:tcPr>
          <w:p w14:paraId="1157E103" w14:textId="77777777" w:rsidR="00EB3855" w:rsidRPr="00F85E6D" w:rsidRDefault="00EB3855" w:rsidP="004F00FE">
            <w:pPr>
              <w:spacing w:after="0" w:line="240" w:lineRule="auto"/>
              <w:jc w:val="center"/>
              <w:rPr>
                <w:rFonts w:ascii="Gulliver" w:eastAsia="Times New Roman" w:hAnsi="Gulliver" w:cs="Times New Roman"/>
                <w:sz w:val="20"/>
                <w:szCs w:val="20"/>
                <w:lang w:eastAsia="en-ID"/>
              </w:rPr>
            </w:pPr>
          </w:p>
        </w:tc>
      </w:tr>
      <w:tr w:rsidR="00EB3855" w:rsidRPr="00F85E6D" w14:paraId="1A2909C6" w14:textId="77777777" w:rsidTr="00EB3855">
        <w:trPr>
          <w:trHeight w:val="300"/>
        </w:trPr>
        <w:tc>
          <w:tcPr>
            <w:tcW w:w="5080" w:type="dxa"/>
            <w:tcBorders>
              <w:top w:val="nil"/>
              <w:left w:val="nil"/>
              <w:bottom w:val="nil"/>
              <w:right w:val="nil"/>
            </w:tcBorders>
            <w:shd w:val="clear" w:color="auto" w:fill="auto"/>
            <w:vAlign w:val="center"/>
            <w:hideMark/>
          </w:tcPr>
          <w:p w14:paraId="410BBEF3"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Male</w:t>
            </w:r>
          </w:p>
        </w:tc>
        <w:tc>
          <w:tcPr>
            <w:tcW w:w="1720" w:type="dxa"/>
            <w:tcBorders>
              <w:top w:val="nil"/>
              <w:left w:val="nil"/>
              <w:bottom w:val="nil"/>
              <w:right w:val="nil"/>
            </w:tcBorders>
            <w:shd w:val="clear" w:color="auto" w:fill="auto"/>
            <w:vAlign w:val="center"/>
            <w:hideMark/>
          </w:tcPr>
          <w:p w14:paraId="7AA95700"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178</w:t>
            </w:r>
          </w:p>
        </w:tc>
        <w:tc>
          <w:tcPr>
            <w:tcW w:w="3548" w:type="dxa"/>
            <w:tcBorders>
              <w:top w:val="nil"/>
              <w:left w:val="nil"/>
              <w:bottom w:val="nil"/>
              <w:right w:val="nil"/>
            </w:tcBorders>
            <w:shd w:val="clear" w:color="auto" w:fill="auto"/>
            <w:vAlign w:val="center"/>
            <w:hideMark/>
          </w:tcPr>
          <w:p w14:paraId="4D7B9C53"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59.3%</w:t>
            </w:r>
          </w:p>
        </w:tc>
      </w:tr>
      <w:tr w:rsidR="00EB3855" w:rsidRPr="00F85E6D" w14:paraId="5B5C6E7B" w14:textId="77777777" w:rsidTr="00EB3855">
        <w:trPr>
          <w:trHeight w:val="300"/>
        </w:trPr>
        <w:tc>
          <w:tcPr>
            <w:tcW w:w="5080" w:type="dxa"/>
            <w:tcBorders>
              <w:top w:val="nil"/>
              <w:left w:val="nil"/>
              <w:bottom w:val="nil"/>
              <w:right w:val="nil"/>
            </w:tcBorders>
            <w:shd w:val="clear" w:color="auto" w:fill="auto"/>
            <w:vAlign w:val="center"/>
            <w:hideMark/>
          </w:tcPr>
          <w:p w14:paraId="3368C0CE"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Female</w:t>
            </w:r>
          </w:p>
        </w:tc>
        <w:tc>
          <w:tcPr>
            <w:tcW w:w="1720" w:type="dxa"/>
            <w:tcBorders>
              <w:top w:val="nil"/>
              <w:left w:val="nil"/>
              <w:bottom w:val="nil"/>
              <w:right w:val="nil"/>
            </w:tcBorders>
            <w:shd w:val="clear" w:color="auto" w:fill="auto"/>
            <w:vAlign w:val="center"/>
            <w:hideMark/>
          </w:tcPr>
          <w:p w14:paraId="54B96A70"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122</w:t>
            </w:r>
          </w:p>
        </w:tc>
        <w:tc>
          <w:tcPr>
            <w:tcW w:w="3548" w:type="dxa"/>
            <w:tcBorders>
              <w:top w:val="nil"/>
              <w:left w:val="nil"/>
              <w:bottom w:val="nil"/>
              <w:right w:val="nil"/>
            </w:tcBorders>
            <w:shd w:val="clear" w:color="auto" w:fill="auto"/>
            <w:vAlign w:val="center"/>
            <w:hideMark/>
          </w:tcPr>
          <w:p w14:paraId="68352F17"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40.7%</w:t>
            </w:r>
          </w:p>
        </w:tc>
      </w:tr>
      <w:tr w:rsidR="00EB3855" w:rsidRPr="00F85E6D" w14:paraId="5876C3CB" w14:textId="77777777" w:rsidTr="00EB3855">
        <w:trPr>
          <w:trHeight w:val="300"/>
        </w:trPr>
        <w:tc>
          <w:tcPr>
            <w:tcW w:w="5080" w:type="dxa"/>
            <w:tcBorders>
              <w:top w:val="nil"/>
              <w:left w:val="nil"/>
              <w:bottom w:val="nil"/>
              <w:right w:val="nil"/>
            </w:tcBorders>
            <w:shd w:val="clear" w:color="auto" w:fill="auto"/>
            <w:vAlign w:val="center"/>
            <w:hideMark/>
          </w:tcPr>
          <w:p w14:paraId="04073875" w14:textId="77777777" w:rsidR="00EB3855" w:rsidRPr="00F85E6D" w:rsidRDefault="00EB3855" w:rsidP="004F00FE">
            <w:pPr>
              <w:spacing w:after="0" w:line="240" w:lineRule="auto"/>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Professional Role</w:t>
            </w:r>
          </w:p>
        </w:tc>
        <w:tc>
          <w:tcPr>
            <w:tcW w:w="1720" w:type="dxa"/>
            <w:tcBorders>
              <w:top w:val="nil"/>
              <w:left w:val="nil"/>
              <w:bottom w:val="nil"/>
              <w:right w:val="nil"/>
            </w:tcBorders>
            <w:shd w:val="clear" w:color="auto" w:fill="auto"/>
            <w:vAlign w:val="center"/>
            <w:hideMark/>
          </w:tcPr>
          <w:p w14:paraId="240D96D4" w14:textId="77777777" w:rsidR="00EB3855" w:rsidRPr="00F85E6D" w:rsidRDefault="00EB3855" w:rsidP="004F00FE">
            <w:pPr>
              <w:spacing w:after="0" w:line="240" w:lineRule="auto"/>
              <w:rPr>
                <w:rFonts w:ascii="Gulliver" w:eastAsia="Times New Roman" w:hAnsi="Gulliver" w:cs="Calibri"/>
                <w:b/>
                <w:bCs/>
                <w:color w:val="000000"/>
                <w:sz w:val="20"/>
                <w:szCs w:val="20"/>
                <w:lang w:eastAsia="en-ID"/>
              </w:rPr>
            </w:pPr>
          </w:p>
        </w:tc>
        <w:tc>
          <w:tcPr>
            <w:tcW w:w="3548" w:type="dxa"/>
            <w:tcBorders>
              <w:top w:val="nil"/>
              <w:left w:val="nil"/>
              <w:bottom w:val="nil"/>
              <w:right w:val="nil"/>
            </w:tcBorders>
            <w:shd w:val="clear" w:color="auto" w:fill="auto"/>
            <w:vAlign w:val="center"/>
            <w:hideMark/>
          </w:tcPr>
          <w:p w14:paraId="386010F1" w14:textId="77777777" w:rsidR="00EB3855" w:rsidRPr="00F85E6D" w:rsidRDefault="00EB3855" w:rsidP="004F00FE">
            <w:pPr>
              <w:spacing w:after="0" w:line="240" w:lineRule="auto"/>
              <w:jc w:val="center"/>
              <w:rPr>
                <w:rFonts w:ascii="Gulliver" w:eastAsia="Times New Roman" w:hAnsi="Gulliver" w:cs="Times New Roman"/>
                <w:sz w:val="20"/>
                <w:szCs w:val="20"/>
                <w:lang w:eastAsia="en-ID"/>
              </w:rPr>
            </w:pPr>
          </w:p>
        </w:tc>
      </w:tr>
      <w:tr w:rsidR="00EB3855" w:rsidRPr="00F85E6D" w14:paraId="63DDF1A0" w14:textId="77777777" w:rsidTr="00EB3855">
        <w:trPr>
          <w:trHeight w:val="300"/>
        </w:trPr>
        <w:tc>
          <w:tcPr>
            <w:tcW w:w="5080" w:type="dxa"/>
            <w:tcBorders>
              <w:top w:val="nil"/>
              <w:left w:val="nil"/>
              <w:bottom w:val="nil"/>
              <w:right w:val="nil"/>
            </w:tcBorders>
            <w:shd w:val="clear" w:color="auto" w:fill="auto"/>
            <w:vAlign w:val="center"/>
            <w:hideMark/>
          </w:tcPr>
          <w:p w14:paraId="5F421F35"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Marketing Manager</w:t>
            </w:r>
          </w:p>
        </w:tc>
        <w:tc>
          <w:tcPr>
            <w:tcW w:w="1720" w:type="dxa"/>
            <w:tcBorders>
              <w:top w:val="nil"/>
              <w:left w:val="nil"/>
              <w:bottom w:val="nil"/>
              <w:right w:val="nil"/>
            </w:tcBorders>
            <w:shd w:val="clear" w:color="auto" w:fill="auto"/>
            <w:vAlign w:val="center"/>
            <w:hideMark/>
          </w:tcPr>
          <w:p w14:paraId="06B413A4"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140</w:t>
            </w:r>
          </w:p>
        </w:tc>
        <w:tc>
          <w:tcPr>
            <w:tcW w:w="3548" w:type="dxa"/>
            <w:tcBorders>
              <w:top w:val="nil"/>
              <w:left w:val="nil"/>
              <w:bottom w:val="nil"/>
              <w:right w:val="nil"/>
            </w:tcBorders>
            <w:shd w:val="clear" w:color="auto" w:fill="auto"/>
            <w:vAlign w:val="center"/>
            <w:hideMark/>
          </w:tcPr>
          <w:p w14:paraId="456236D2"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46.7%</w:t>
            </w:r>
          </w:p>
        </w:tc>
      </w:tr>
      <w:tr w:rsidR="00EB3855" w:rsidRPr="00F85E6D" w14:paraId="25537405" w14:textId="77777777" w:rsidTr="00EB3855">
        <w:trPr>
          <w:trHeight w:val="300"/>
        </w:trPr>
        <w:tc>
          <w:tcPr>
            <w:tcW w:w="5080" w:type="dxa"/>
            <w:tcBorders>
              <w:top w:val="nil"/>
              <w:left w:val="nil"/>
              <w:bottom w:val="nil"/>
              <w:right w:val="nil"/>
            </w:tcBorders>
            <w:shd w:val="clear" w:color="auto" w:fill="auto"/>
            <w:vAlign w:val="center"/>
            <w:hideMark/>
          </w:tcPr>
          <w:p w14:paraId="548B7113"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Data Analyst</w:t>
            </w:r>
          </w:p>
        </w:tc>
        <w:tc>
          <w:tcPr>
            <w:tcW w:w="1720" w:type="dxa"/>
            <w:tcBorders>
              <w:top w:val="nil"/>
              <w:left w:val="nil"/>
              <w:bottom w:val="nil"/>
              <w:right w:val="nil"/>
            </w:tcBorders>
            <w:shd w:val="clear" w:color="auto" w:fill="auto"/>
            <w:vAlign w:val="center"/>
            <w:hideMark/>
          </w:tcPr>
          <w:p w14:paraId="047DB99A"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96</w:t>
            </w:r>
          </w:p>
        </w:tc>
        <w:tc>
          <w:tcPr>
            <w:tcW w:w="3548" w:type="dxa"/>
            <w:tcBorders>
              <w:top w:val="nil"/>
              <w:left w:val="nil"/>
              <w:bottom w:val="nil"/>
              <w:right w:val="nil"/>
            </w:tcBorders>
            <w:shd w:val="clear" w:color="auto" w:fill="auto"/>
            <w:vAlign w:val="center"/>
            <w:hideMark/>
          </w:tcPr>
          <w:p w14:paraId="6645F84C"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32.0%</w:t>
            </w:r>
          </w:p>
        </w:tc>
      </w:tr>
      <w:tr w:rsidR="00EB3855" w:rsidRPr="00F85E6D" w14:paraId="60F59522" w14:textId="77777777" w:rsidTr="00EB3855">
        <w:trPr>
          <w:trHeight w:val="300"/>
        </w:trPr>
        <w:tc>
          <w:tcPr>
            <w:tcW w:w="5080" w:type="dxa"/>
            <w:tcBorders>
              <w:top w:val="nil"/>
              <w:left w:val="nil"/>
              <w:bottom w:val="nil"/>
              <w:right w:val="nil"/>
            </w:tcBorders>
            <w:shd w:val="clear" w:color="auto" w:fill="auto"/>
            <w:vAlign w:val="center"/>
            <w:hideMark/>
          </w:tcPr>
          <w:p w14:paraId="0D96B9B0"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AI/ML Specialist</w:t>
            </w:r>
          </w:p>
        </w:tc>
        <w:tc>
          <w:tcPr>
            <w:tcW w:w="1720" w:type="dxa"/>
            <w:tcBorders>
              <w:top w:val="nil"/>
              <w:left w:val="nil"/>
              <w:bottom w:val="nil"/>
              <w:right w:val="nil"/>
            </w:tcBorders>
            <w:shd w:val="clear" w:color="auto" w:fill="auto"/>
            <w:vAlign w:val="center"/>
            <w:hideMark/>
          </w:tcPr>
          <w:p w14:paraId="6A5E4E8E"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64</w:t>
            </w:r>
          </w:p>
        </w:tc>
        <w:tc>
          <w:tcPr>
            <w:tcW w:w="3548" w:type="dxa"/>
            <w:tcBorders>
              <w:top w:val="nil"/>
              <w:left w:val="nil"/>
              <w:bottom w:val="nil"/>
              <w:right w:val="nil"/>
            </w:tcBorders>
            <w:shd w:val="clear" w:color="auto" w:fill="auto"/>
            <w:vAlign w:val="center"/>
            <w:hideMark/>
          </w:tcPr>
          <w:p w14:paraId="3EF89193"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21.3%</w:t>
            </w:r>
          </w:p>
        </w:tc>
      </w:tr>
      <w:tr w:rsidR="00EB3855" w:rsidRPr="00F85E6D" w14:paraId="2D95C744" w14:textId="77777777" w:rsidTr="00EB3855">
        <w:trPr>
          <w:trHeight w:val="300"/>
        </w:trPr>
        <w:tc>
          <w:tcPr>
            <w:tcW w:w="5080" w:type="dxa"/>
            <w:tcBorders>
              <w:top w:val="nil"/>
              <w:left w:val="nil"/>
              <w:bottom w:val="nil"/>
              <w:right w:val="nil"/>
            </w:tcBorders>
            <w:shd w:val="clear" w:color="auto" w:fill="auto"/>
            <w:vAlign w:val="center"/>
            <w:hideMark/>
          </w:tcPr>
          <w:p w14:paraId="4867264C" w14:textId="77777777" w:rsidR="00EB3855" w:rsidRPr="00F85E6D" w:rsidRDefault="00EB3855" w:rsidP="004F00FE">
            <w:pPr>
              <w:spacing w:after="0" w:line="240" w:lineRule="auto"/>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Industry</w:t>
            </w:r>
          </w:p>
        </w:tc>
        <w:tc>
          <w:tcPr>
            <w:tcW w:w="1720" w:type="dxa"/>
            <w:tcBorders>
              <w:top w:val="nil"/>
              <w:left w:val="nil"/>
              <w:bottom w:val="nil"/>
              <w:right w:val="nil"/>
            </w:tcBorders>
            <w:shd w:val="clear" w:color="auto" w:fill="auto"/>
            <w:vAlign w:val="center"/>
            <w:hideMark/>
          </w:tcPr>
          <w:p w14:paraId="38350F7F" w14:textId="77777777" w:rsidR="00EB3855" w:rsidRPr="00F85E6D" w:rsidRDefault="00EB3855" w:rsidP="004F00FE">
            <w:pPr>
              <w:spacing w:after="0" w:line="240" w:lineRule="auto"/>
              <w:rPr>
                <w:rFonts w:ascii="Gulliver" w:eastAsia="Times New Roman" w:hAnsi="Gulliver" w:cs="Calibri"/>
                <w:b/>
                <w:bCs/>
                <w:color w:val="000000"/>
                <w:sz w:val="20"/>
                <w:szCs w:val="20"/>
                <w:lang w:eastAsia="en-ID"/>
              </w:rPr>
            </w:pPr>
          </w:p>
        </w:tc>
        <w:tc>
          <w:tcPr>
            <w:tcW w:w="3548" w:type="dxa"/>
            <w:tcBorders>
              <w:top w:val="nil"/>
              <w:left w:val="nil"/>
              <w:bottom w:val="nil"/>
              <w:right w:val="nil"/>
            </w:tcBorders>
            <w:shd w:val="clear" w:color="auto" w:fill="auto"/>
            <w:vAlign w:val="center"/>
            <w:hideMark/>
          </w:tcPr>
          <w:p w14:paraId="66A04577" w14:textId="77777777" w:rsidR="00EB3855" w:rsidRPr="00F85E6D" w:rsidRDefault="00EB3855" w:rsidP="004F00FE">
            <w:pPr>
              <w:spacing w:after="0" w:line="240" w:lineRule="auto"/>
              <w:jc w:val="center"/>
              <w:rPr>
                <w:rFonts w:ascii="Gulliver" w:eastAsia="Times New Roman" w:hAnsi="Gulliver" w:cs="Times New Roman"/>
                <w:sz w:val="20"/>
                <w:szCs w:val="20"/>
                <w:lang w:eastAsia="en-ID"/>
              </w:rPr>
            </w:pPr>
          </w:p>
        </w:tc>
      </w:tr>
      <w:tr w:rsidR="00EB3855" w:rsidRPr="00F85E6D" w14:paraId="4F6E1ED1" w14:textId="77777777" w:rsidTr="00EB3855">
        <w:trPr>
          <w:trHeight w:val="300"/>
        </w:trPr>
        <w:tc>
          <w:tcPr>
            <w:tcW w:w="5080" w:type="dxa"/>
            <w:tcBorders>
              <w:top w:val="nil"/>
              <w:left w:val="nil"/>
              <w:bottom w:val="nil"/>
              <w:right w:val="nil"/>
            </w:tcBorders>
            <w:shd w:val="clear" w:color="auto" w:fill="auto"/>
            <w:vAlign w:val="center"/>
            <w:hideMark/>
          </w:tcPr>
          <w:p w14:paraId="660A37CB"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Retail</w:t>
            </w:r>
          </w:p>
        </w:tc>
        <w:tc>
          <w:tcPr>
            <w:tcW w:w="1720" w:type="dxa"/>
            <w:tcBorders>
              <w:top w:val="nil"/>
              <w:left w:val="nil"/>
              <w:bottom w:val="nil"/>
              <w:right w:val="nil"/>
            </w:tcBorders>
            <w:shd w:val="clear" w:color="auto" w:fill="auto"/>
            <w:vAlign w:val="center"/>
            <w:hideMark/>
          </w:tcPr>
          <w:p w14:paraId="310B5A83"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98</w:t>
            </w:r>
          </w:p>
        </w:tc>
        <w:tc>
          <w:tcPr>
            <w:tcW w:w="3548" w:type="dxa"/>
            <w:tcBorders>
              <w:top w:val="nil"/>
              <w:left w:val="nil"/>
              <w:bottom w:val="nil"/>
              <w:right w:val="nil"/>
            </w:tcBorders>
            <w:shd w:val="clear" w:color="auto" w:fill="auto"/>
            <w:vAlign w:val="center"/>
            <w:hideMark/>
          </w:tcPr>
          <w:p w14:paraId="1B9C1F6B"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32.7%</w:t>
            </w:r>
          </w:p>
        </w:tc>
      </w:tr>
      <w:tr w:rsidR="00EB3855" w:rsidRPr="00F85E6D" w14:paraId="0A5FEC57" w14:textId="77777777" w:rsidTr="00EB3855">
        <w:trPr>
          <w:trHeight w:val="300"/>
        </w:trPr>
        <w:tc>
          <w:tcPr>
            <w:tcW w:w="5080" w:type="dxa"/>
            <w:tcBorders>
              <w:top w:val="nil"/>
              <w:left w:val="nil"/>
              <w:bottom w:val="nil"/>
              <w:right w:val="nil"/>
            </w:tcBorders>
            <w:shd w:val="clear" w:color="auto" w:fill="auto"/>
            <w:vAlign w:val="center"/>
            <w:hideMark/>
          </w:tcPr>
          <w:p w14:paraId="4EA114B0"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Financial Services</w:t>
            </w:r>
          </w:p>
        </w:tc>
        <w:tc>
          <w:tcPr>
            <w:tcW w:w="1720" w:type="dxa"/>
            <w:tcBorders>
              <w:top w:val="nil"/>
              <w:left w:val="nil"/>
              <w:bottom w:val="nil"/>
              <w:right w:val="nil"/>
            </w:tcBorders>
            <w:shd w:val="clear" w:color="auto" w:fill="auto"/>
            <w:vAlign w:val="center"/>
            <w:hideMark/>
          </w:tcPr>
          <w:p w14:paraId="14A378D6"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78</w:t>
            </w:r>
          </w:p>
        </w:tc>
        <w:tc>
          <w:tcPr>
            <w:tcW w:w="3548" w:type="dxa"/>
            <w:tcBorders>
              <w:top w:val="nil"/>
              <w:left w:val="nil"/>
              <w:bottom w:val="nil"/>
              <w:right w:val="nil"/>
            </w:tcBorders>
            <w:shd w:val="clear" w:color="auto" w:fill="auto"/>
            <w:vAlign w:val="center"/>
            <w:hideMark/>
          </w:tcPr>
          <w:p w14:paraId="5E5F5580"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26.0%</w:t>
            </w:r>
          </w:p>
        </w:tc>
      </w:tr>
      <w:tr w:rsidR="00EB3855" w:rsidRPr="00F85E6D" w14:paraId="3705767C" w14:textId="77777777" w:rsidTr="00EB3855">
        <w:trPr>
          <w:trHeight w:val="300"/>
        </w:trPr>
        <w:tc>
          <w:tcPr>
            <w:tcW w:w="5080" w:type="dxa"/>
            <w:tcBorders>
              <w:top w:val="nil"/>
              <w:left w:val="nil"/>
              <w:bottom w:val="nil"/>
              <w:right w:val="nil"/>
            </w:tcBorders>
            <w:shd w:val="clear" w:color="auto" w:fill="auto"/>
            <w:vAlign w:val="center"/>
            <w:hideMark/>
          </w:tcPr>
          <w:p w14:paraId="1CFA7B1B"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Technology</w:t>
            </w:r>
          </w:p>
        </w:tc>
        <w:tc>
          <w:tcPr>
            <w:tcW w:w="1720" w:type="dxa"/>
            <w:tcBorders>
              <w:top w:val="nil"/>
              <w:left w:val="nil"/>
              <w:bottom w:val="nil"/>
              <w:right w:val="nil"/>
            </w:tcBorders>
            <w:shd w:val="clear" w:color="auto" w:fill="auto"/>
            <w:vAlign w:val="center"/>
            <w:hideMark/>
          </w:tcPr>
          <w:p w14:paraId="505188CF"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124</w:t>
            </w:r>
          </w:p>
        </w:tc>
        <w:tc>
          <w:tcPr>
            <w:tcW w:w="3548" w:type="dxa"/>
            <w:tcBorders>
              <w:top w:val="nil"/>
              <w:left w:val="nil"/>
              <w:bottom w:val="nil"/>
              <w:right w:val="nil"/>
            </w:tcBorders>
            <w:shd w:val="clear" w:color="auto" w:fill="auto"/>
            <w:vAlign w:val="center"/>
            <w:hideMark/>
          </w:tcPr>
          <w:p w14:paraId="62FA4A69"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41.3%</w:t>
            </w:r>
          </w:p>
        </w:tc>
      </w:tr>
      <w:tr w:rsidR="00EB3855" w:rsidRPr="00F85E6D" w14:paraId="5800D40D" w14:textId="77777777" w:rsidTr="00EB3855">
        <w:trPr>
          <w:trHeight w:val="300"/>
        </w:trPr>
        <w:tc>
          <w:tcPr>
            <w:tcW w:w="5080" w:type="dxa"/>
            <w:tcBorders>
              <w:top w:val="nil"/>
              <w:left w:val="nil"/>
              <w:bottom w:val="nil"/>
              <w:right w:val="nil"/>
            </w:tcBorders>
            <w:shd w:val="clear" w:color="auto" w:fill="auto"/>
            <w:vAlign w:val="center"/>
            <w:hideMark/>
          </w:tcPr>
          <w:p w14:paraId="679F52CE" w14:textId="77777777" w:rsidR="00EB3855" w:rsidRPr="00F85E6D" w:rsidRDefault="00EB3855" w:rsidP="004F00FE">
            <w:pPr>
              <w:spacing w:after="0" w:line="240" w:lineRule="auto"/>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Experience (Years)</w:t>
            </w:r>
          </w:p>
        </w:tc>
        <w:tc>
          <w:tcPr>
            <w:tcW w:w="1720" w:type="dxa"/>
            <w:tcBorders>
              <w:top w:val="nil"/>
              <w:left w:val="nil"/>
              <w:bottom w:val="nil"/>
              <w:right w:val="nil"/>
            </w:tcBorders>
            <w:shd w:val="clear" w:color="auto" w:fill="auto"/>
            <w:vAlign w:val="center"/>
            <w:hideMark/>
          </w:tcPr>
          <w:p w14:paraId="663887EB" w14:textId="77777777" w:rsidR="00EB3855" w:rsidRPr="00F85E6D" w:rsidRDefault="00EB3855" w:rsidP="004F00FE">
            <w:pPr>
              <w:spacing w:after="0" w:line="240" w:lineRule="auto"/>
              <w:rPr>
                <w:rFonts w:ascii="Gulliver" w:eastAsia="Times New Roman" w:hAnsi="Gulliver" w:cs="Calibri"/>
                <w:b/>
                <w:bCs/>
                <w:color w:val="000000"/>
                <w:sz w:val="20"/>
                <w:szCs w:val="20"/>
                <w:lang w:eastAsia="en-ID"/>
              </w:rPr>
            </w:pPr>
          </w:p>
        </w:tc>
        <w:tc>
          <w:tcPr>
            <w:tcW w:w="3548" w:type="dxa"/>
            <w:tcBorders>
              <w:top w:val="nil"/>
              <w:left w:val="nil"/>
              <w:bottom w:val="nil"/>
              <w:right w:val="nil"/>
            </w:tcBorders>
            <w:shd w:val="clear" w:color="auto" w:fill="auto"/>
            <w:vAlign w:val="center"/>
            <w:hideMark/>
          </w:tcPr>
          <w:p w14:paraId="21C32F78" w14:textId="77777777" w:rsidR="00EB3855" w:rsidRPr="00F85E6D" w:rsidRDefault="00EB3855" w:rsidP="004F00FE">
            <w:pPr>
              <w:spacing w:after="0" w:line="240" w:lineRule="auto"/>
              <w:jc w:val="center"/>
              <w:rPr>
                <w:rFonts w:ascii="Gulliver" w:eastAsia="Times New Roman" w:hAnsi="Gulliver" w:cs="Times New Roman"/>
                <w:sz w:val="20"/>
                <w:szCs w:val="20"/>
                <w:lang w:eastAsia="en-ID"/>
              </w:rPr>
            </w:pPr>
          </w:p>
        </w:tc>
      </w:tr>
      <w:tr w:rsidR="00EB3855" w:rsidRPr="00F85E6D" w14:paraId="7911E5F3" w14:textId="77777777" w:rsidTr="00EB3855">
        <w:trPr>
          <w:trHeight w:val="300"/>
        </w:trPr>
        <w:tc>
          <w:tcPr>
            <w:tcW w:w="5080" w:type="dxa"/>
            <w:tcBorders>
              <w:top w:val="nil"/>
              <w:left w:val="nil"/>
              <w:bottom w:val="nil"/>
              <w:right w:val="nil"/>
            </w:tcBorders>
            <w:shd w:val="clear" w:color="auto" w:fill="auto"/>
            <w:vAlign w:val="center"/>
            <w:hideMark/>
          </w:tcPr>
          <w:p w14:paraId="32D3DF2C"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&lt;5</w:t>
            </w:r>
          </w:p>
        </w:tc>
        <w:tc>
          <w:tcPr>
            <w:tcW w:w="1720" w:type="dxa"/>
            <w:tcBorders>
              <w:top w:val="nil"/>
              <w:left w:val="nil"/>
              <w:bottom w:val="nil"/>
              <w:right w:val="nil"/>
            </w:tcBorders>
            <w:shd w:val="clear" w:color="auto" w:fill="auto"/>
            <w:vAlign w:val="center"/>
            <w:hideMark/>
          </w:tcPr>
          <w:p w14:paraId="05257CC5"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86</w:t>
            </w:r>
          </w:p>
        </w:tc>
        <w:tc>
          <w:tcPr>
            <w:tcW w:w="3548" w:type="dxa"/>
            <w:tcBorders>
              <w:top w:val="nil"/>
              <w:left w:val="nil"/>
              <w:bottom w:val="nil"/>
              <w:right w:val="nil"/>
            </w:tcBorders>
            <w:shd w:val="clear" w:color="auto" w:fill="auto"/>
            <w:vAlign w:val="center"/>
            <w:hideMark/>
          </w:tcPr>
          <w:p w14:paraId="0A30469F"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28.7%</w:t>
            </w:r>
          </w:p>
        </w:tc>
      </w:tr>
      <w:tr w:rsidR="00EB3855" w:rsidRPr="00F85E6D" w14:paraId="442A4528" w14:textId="77777777" w:rsidTr="00EB3855">
        <w:trPr>
          <w:trHeight w:val="300"/>
        </w:trPr>
        <w:tc>
          <w:tcPr>
            <w:tcW w:w="5080" w:type="dxa"/>
            <w:tcBorders>
              <w:top w:val="nil"/>
              <w:left w:val="nil"/>
              <w:bottom w:val="nil"/>
              <w:right w:val="nil"/>
            </w:tcBorders>
            <w:shd w:val="clear" w:color="auto" w:fill="auto"/>
            <w:vAlign w:val="center"/>
            <w:hideMark/>
          </w:tcPr>
          <w:p w14:paraId="3EAF9137"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5–10</w:t>
            </w:r>
          </w:p>
        </w:tc>
        <w:tc>
          <w:tcPr>
            <w:tcW w:w="1720" w:type="dxa"/>
            <w:tcBorders>
              <w:top w:val="nil"/>
              <w:left w:val="nil"/>
              <w:bottom w:val="nil"/>
              <w:right w:val="nil"/>
            </w:tcBorders>
            <w:shd w:val="clear" w:color="auto" w:fill="auto"/>
            <w:vAlign w:val="center"/>
            <w:hideMark/>
          </w:tcPr>
          <w:p w14:paraId="7062C138"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128</w:t>
            </w:r>
          </w:p>
        </w:tc>
        <w:tc>
          <w:tcPr>
            <w:tcW w:w="3548" w:type="dxa"/>
            <w:tcBorders>
              <w:top w:val="nil"/>
              <w:left w:val="nil"/>
              <w:bottom w:val="nil"/>
              <w:right w:val="nil"/>
            </w:tcBorders>
            <w:shd w:val="clear" w:color="auto" w:fill="auto"/>
            <w:vAlign w:val="center"/>
            <w:hideMark/>
          </w:tcPr>
          <w:p w14:paraId="179B842C"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42.7%</w:t>
            </w:r>
          </w:p>
        </w:tc>
      </w:tr>
      <w:tr w:rsidR="00EB3855" w:rsidRPr="00F85E6D" w14:paraId="77DA8813" w14:textId="77777777" w:rsidTr="00EB3855">
        <w:trPr>
          <w:trHeight w:val="300"/>
        </w:trPr>
        <w:tc>
          <w:tcPr>
            <w:tcW w:w="5080" w:type="dxa"/>
            <w:tcBorders>
              <w:top w:val="nil"/>
              <w:left w:val="nil"/>
              <w:bottom w:val="single" w:sz="4" w:space="0" w:color="auto"/>
              <w:right w:val="nil"/>
            </w:tcBorders>
            <w:shd w:val="clear" w:color="auto" w:fill="auto"/>
            <w:vAlign w:val="center"/>
            <w:hideMark/>
          </w:tcPr>
          <w:p w14:paraId="24ABD9B6"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&gt;10</w:t>
            </w:r>
          </w:p>
        </w:tc>
        <w:tc>
          <w:tcPr>
            <w:tcW w:w="1720" w:type="dxa"/>
            <w:tcBorders>
              <w:top w:val="nil"/>
              <w:left w:val="nil"/>
              <w:bottom w:val="single" w:sz="4" w:space="0" w:color="auto"/>
              <w:right w:val="nil"/>
            </w:tcBorders>
            <w:shd w:val="clear" w:color="auto" w:fill="auto"/>
            <w:vAlign w:val="center"/>
            <w:hideMark/>
          </w:tcPr>
          <w:p w14:paraId="6FCBEE36"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86</w:t>
            </w:r>
          </w:p>
        </w:tc>
        <w:tc>
          <w:tcPr>
            <w:tcW w:w="3548" w:type="dxa"/>
            <w:tcBorders>
              <w:top w:val="nil"/>
              <w:left w:val="nil"/>
              <w:bottom w:val="single" w:sz="4" w:space="0" w:color="auto"/>
              <w:right w:val="nil"/>
            </w:tcBorders>
            <w:shd w:val="clear" w:color="auto" w:fill="auto"/>
            <w:vAlign w:val="center"/>
            <w:hideMark/>
          </w:tcPr>
          <w:p w14:paraId="7D7E7850"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28.7%</w:t>
            </w:r>
          </w:p>
        </w:tc>
      </w:tr>
    </w:tbl>
    <w:p w14:paraId="15A33A37" w14:textId="77777777" w:rsidR="00EB3855" w:rsidRPr="003576CC" w:rsidRDefault="00EB3855" w:rsidP="00EB3855">
      <w:pPr>
        <w:jc w:val="both"/>
        <w:rPr>
          <w:rFonts w:ascii="Gulliver" w:hAnsi="Gulliver"/>
          <w:i/>
          <w:iCs/>
          <w:sz w:val="16"/>
          <w:szCs w:val="16"/>
        </w:rPr>
      </w:pPr>
      <w:r w:rsidRPr="00C27454">
        <w:rPr>
          <w:rFonts w:ascii="Gulliver" w:hAnsi="Gulliver"/>
          <w:i/>
          <w:iCs/>
          <w:sz w:val="16"/>
          <w:szCs w:val="16"/>
        </w:rPr>
        <w:t>Source data; processed by the author in observation 2024</w:t>
      </w:r>
    </w:p>
    <w:p w14:paraId="336F1D92" w14:textId="77777777" w:rsidR="00EB3855" w:rsidRDefault="00EB3855" w:rsidP="00EB3855">
      <w:pPr>
        <w:jc w:val="both"/>
        <w:rPr>
          <w:rFonts w:ascii="Gulliver" w:hAnsi="Gulliver"/>
          <w:sz w:val="20"/>
          <w:szCs w:val="20"/>
        </w:rPr>
      </w:pPr>
      <w:r w:rsidRPr="00EB3855">
        <w:rPr>
          <w:rFonts w:ascii="Gulliver" w:hAnsi="Gulliver"/>
          <w:b/>
          <w:bCs/>
          <w:color w:val="1F3864" w:themeColor="accent1" w:themeShade="80"/>
          <w:sz w:val="20"/>
          <w:szCs w:val="20"/>
        </w:rPr>
        <w:t>Table 4:</w:t>
      </w:r>
      <w:r w:rsidRPr="00EB3855">
        <w:rPr>
          <w:rFonts w:ascii="Gulliver" w:hAnsi="Gulliver"/>
          <w:color w:val="1F3864" w:themeColor="accent1" w:themeShade="80"/>
          <w:sz w:val="20"/>
          <w:szCs w:val="20"/>
        </w:rPr>
        <w:t xml:space="preserve"> </w:t>
      </w:r>
      <w:r w:rsidRPr="00F85E6D">
        <w:rPr>
          <w:rFonts w:ascii="Gulliver" w:hAnsi="Gulliver"/>
          <w:sz w:val="20"/>
          <w:szCs w:val="20"/>
        </w:rPr>
        <w:t>Reliability and Convergent Validity</w:t>
      </w:r>
    </w:p>
    <w:tbl>
      <w:tblPr>
        <w:tblW w:w="10065" w:type="dxa"/>
        <w:tblLook w:val="04A0" w:firstRow="1" w:lastRow="0" w:firstColumn="1" w:lastColumn="0" w:noHBand="0" w:noVBand="1"/>
      </w:tblPr>
      <w:tblGrid>
        <w:gridCol w:w="3686"/>
        <w:gridCol w:w="2014"/>
        <w:gridCol w:w="3372"/>
        <w:gridCol w:w="993"/>
      </w:tblGrid>
      <w:tr w:rsidR="00EB3855" w:rsidRPr="00F85E6D" w14:paraId="7BD51F7D" w14:textId="77777777" w:rsidTr="00EB3855">
        <w:trPr>
          <w:trHeight w:val="300"/>
        </w:trPr>
        <w:tc>
          <w:tcPr>
            <w:tcW w:w="3686" w:type="dxa"/>
            <w:tcBorders>
              <w:top w:val="single" w:sz="4" w:space="0" w:color="auto"/>
              <w:left w:val="nil"/>
              <w:bottom w:val="single" w:sz="4" w:space="0" w:color="auto"/>
              <w:right w:val="nil"/>
            </w:tcBorders>
            <w:shd w:val="clear" w:color="auto" w:fill="auto"/>
            <w:vAlign w:val="center"/>
            <w:hideMark/>
          </w:tcPr>
          <w:p w14:paraId="48CE3C63"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Construct</w:t>
            </w:r>
          </w:p>
        </w:tc>
        <w:tc>
          <w:tcPr>
            <w:tcW w:w="2014" w:type="dxa"/>
            <w:tcBorders>
              <w:top w:val="single" w:sz="4" w:space="0" w:color="auto"/>
              <w:left w:val="nil"/>
              <w:bottom w:val="single" w:sz="4" w:space="0" w:color="auto"/>
              <w:right w:val="nil"/>
            </w:tcBorders>
            <w:shd w:val="clear" w:color="auto" w:fill="auto"/>
            <w:vAlign w:val="center"/>
            <w:hideMark/>
          </w:tcPr>
          <w:p w14:paraId="2AEF6D58"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Cronbach’s Alpha</w:t>
            </w:r>
          </w:p>
        </w:tc>
        <w:tc>
          <w:tcPr>
            <w:tcW w:w="3372" w:type="dxa"/>
            <w:tcBorders>
              <w:top w:val="single" w:sz="4" w:space="0" w:color="auto"/>
              <w:left w:val="nil"/>
              <w:bottom w:val="single" w:sz="4" w:space="0" w:color="auto"/>
              <w:right w:val="nil"/>
            </w:tcBorders>
            <w:shd w:val="clear" w:color="auto" w:fill="auto"/>
            <w:vAlign w:val="center"/>
            <w:hideMark/>
          </w:tcPr>
          <w:p w14:paraId="3E429878"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Composite Reliability (CR)</w:t>
            </w:r>
          </w:p>
        </w:tc>
        <w:tc>
          <w:tcPr>
            <w:tcW w:w="993" w:type="dxa"/>
            <w:tcBorders>
              <w:top w:val="single" w:sz="4" w:space="0" w:color="auto"/>
              <w:left w:val="nil"/>
              <w:bottom w:val="single" w:sz="4" w:space="0" w:color="auto"/>
              <w:right w:val="nil"/>
            </w:tcBorders>
            <w:shd w:val="clear" w:color="auto" w:fill="auto"/>
            <w:vAlign w:val="center"/>
            <w:hideMark/>
          </w:tcPr>
          <w:p w14:paraId="1BE002B8"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AVE</w:t>
            </w:r>
          </w:p>
        </w:tc>
      </w:tr>
      <w:tr w:rsidR="00EB3855" w:rsidRPr="00F85E6D" w14:paraId="244AD268" w14:textId="77777777" w:rsidTr="00EB3855">
        <w:trPr>
          <w:trHeight w:val="300"/>
        </w:trPr>
        <w:tc>
          <w:tcPr>
            <w:tcW w:w="3686" w:type="dxa"/>
            <w:tcBorders>
              <w:top w:val="nil"/>
              <w:left w:val="nil"/>
              <w:bottom w:val="nil"/>
              <w:right w:val="nil"/>
            </w:tcBorders>
            <w:shd w:val="clear" w:color="auto" w:fill="auto"/>
            <w:vAlign w:val="center"/>
            <w:hideMark/>
          </w:tcPr>
          <w:p w14:paraId="3A25E5A9"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Prediction Accuracy</w:t>
            </w:r>
          </w:p>
        </w:tc>
        <w:tc>
          <w:tcPr>
            <w:tcW w:w="2014" w:type="dxa"/>
            <w:tcBorders>
              <w:top w:val="nil"/>
              <w:left w:val="nil"/>
              <w:bottom w:val="nil"/>
              <w:right w:val="nil"/>
            </w:tcBorders>
            <w:shd w:val="clear" w:color="auto" w:fill="auto"/>
            <w:vAlign w:val="center"/>
            <w:hideMark/>
          </w:tcPr>
          <w:p w14:paraId="5AE869EC"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0.89</w:t>
            </w:r>
          </w:p>
        </w:tc>
        <w:tc>
          <w:tcPr>
            <w:tcW w:w="3372" w:type="dxa"/>
            <w:tcBorders>
              <w:top w:val="nil"/>
              <w:left w:val="nil"/>
              <w:bottom w:val="nil"/>
              <w:right w:val="nil"/>
            </w:tcBorders>
            <w:shd w:val="clear" w:color="auto" w:fill="auto"/>
            <w:vAlign w:val="center"/>
            <w:hideMark/>
          </w:tcPr>
          <w:p w14:paraId="2134614C"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0.92</w:t>
            </w:r>
          </w:p>
        </w:tc>
        <w:tc>
          <w:tcPr>
            <w:tcW w:w="993" w:type="dxa"/>
            <w:tcBorders>
              <w:top w:val="nil"/>
              <w:left w:val="nil"/>
              <w:bottom w:val="nil"/>
              <w:right w:val="nil"/>
            </w:tcBorders>
            <w:shd w:val="clear" w:color="auto" w:fill="auto"/>
            <w:vAlign w:val="center"/>
            <w:hideMark/>
          </w:tcPr>
          <w:p w14:paraId="71855CED"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0.65</w:t>
            </w:r>
          </w:p>
        </w:tc>
      </w:tr>
      <w:tr w:rsidR="00EB3855" w:rsidRPr="00F85E6D" w14:paraId="0928B0A0" w14:textId="77777777" w:rsidTr="00EB3855">
        <w:trPr>
          <w:trHeight w:val="300"/>
        </w:trPr>
        <w:tc>
          <w:tcPr>
            <w:tcW w:w="3686" w:type="dxa"/>
            <w:tcBorders>
              <w:top w:val="nil"/>
              <w:left w:val="nil"/>
              <w:bottom w:val="nil"/>
              <w:right w:val="nil"/>
            </w:tcBorders>
            <w:shd w:val="clear" w:color="auto" w:fill="auto"/>
            <w:vAlign w:val="center"/>
            <w:hideMark/>
          </w:tcPr>
          <w:p w14:paraId="65769F3E"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Insights from Data</w:t>
            </w:r>
          </w:p>
        </w:tc>
        <w:tc>
          <w:tcPr>
            <w:tcW w:w="2014" w:type="dxa"/>
            <w:tcBorders>
              <w:top w:val="nil"/>
              <w:left w:val="nil"/>
              <w:bottom w:val="nil"/>
              <w:right w:val="nil"/>
            </w:tcBorders>
            <w:shd w:val="clear" w:color="auto" w:fill="auto"/>
            <w:vAlign w:val="center"/>
            <w:hideMark/>
          </w:tcPr>
          <w:p w14:paraId="12C807F6"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0.91</w:t>
            </w:r>
          </w:p>
        </w:tc>
        <w:tc>
          <w:tcPr>
            <w:tcW w:w="3372" w:type="dxa"/>
            <w:tcBorders>
              <w:top w:val="nil"/>
              <w:left w:val="nil"/>
              <w:bottom w:val="nil"/>
              <w:right w:val="nil"/>
            </w:tcBorders>
            <w:shd w:val="clear" w:color="auto" w:fill="auto"/>
            <w:vAlign w:val="center"/>
            <w:hideMark/>
          </w:tcPr>
          <w:p w14:paraId="1EE61434"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0.94</w:t>
            </w:r>
          </w:p>
        </w:tc>
        <w:tc>
          <w:tcPr>
            <w:tcW w:w="993" w:type="dxa"/>
            <w:tcBorders>
              <w:top w:val="nil"/>
              <w:left w:val="nil"/>
              <w:bottom w:val="nil"/>
              <w:right w:val="nil"/>
            </w:tcBorders>
            <w:shd w:val="clear" w:color="auto" w:fill="auto"/>
            <w:vAlign w:val="center"/>
            <w:hideMark/>
          </w:tcPr>
          <w:p w14:paraId="7BA1CC54"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0.68</w:t>
            </w:r>
          </w:p>
        </w:tc>
      </w:tr>
      <w:tr w:rsidR="00EB3855" w:rsidRPr="00F85E6D" w14:paraId="6459C2FD" w14:textId="77777777" w:rsidTr="00EB3855">
        <w:trPr>
          <w:trHeight w:val="300"/>
        </w:trPr>
        <w:tc>
          <w:tcPr>
            <w:tcW w:w="3686" w:type="dxa"/>
            <w:tcBorders>
              <w:top w:val="nil"/>
              <w:left w:val="nil"/>
              <w:bottom w:val="nil"/>
              <w:right w:val="nil"/>
            </w:tcBorders>
            <w:shd w:val="clear" w:color="auto" w:fill="auto"/>
            <w:vAlign w:val="center"/>
            <w:hideMark/>
          </w:tcPr>
          <w:p w14:paraId="790C9235"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Transparent Analysis</w:t>
            </w:r>
          </w:p>
        </w:tc>
        <w:tc>
          <w:tcPr>
            <w:tcW w:w="2014" w:type="dxa"/>
            <w:tcBorders>
              <w:top w:val="nil"/>
              <w:left w:val="nil"/>
              <w:bottom w:val="nil"/>
              <w:right w:val="nil"/>
            </w:tcBorders>
            <w:shd w:val="clear" w:color="auto" w:fill="auto"/>
            <w:vAlign w:val="center"/>
            <w:hideMark/>
          </w:tcPr>
          <w:p w14:paraId="72520246"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0.88</w:t>
            </w:r>
          </w:p>
        </w:tc>
        <w:tc>
          <w:tcPr>
            <w:tcW w:w="3372" w:type="dxa"/>
            <w:tcBorders>
              <w:top w:val="nil"/>
              <w:left w:val="nil"/>
              <w:bottom w:val="nil"/>
              <w:right w:val="nil"/>
            </w:tcBorders>
            <w:shd w:val="clear" w:color="auto" w:fill="auto"/>
            <w:vAlign w:val="center"/>
            <w:hideMark/>
          </w:tcPr>
          <w:p w14:paraId="4F2E1D8E"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0.91</w:t>
            </w:r>
          </w:p>
        </w:tc>
        <w:tc>
          <w:tcPr>
            <w:tcW w:w="993" w:type="dxa"/>
            <w:tcBorders>
              <w:top w:val="nil"/>
              <w:left w:val="nil"/>
              <w:bottom w:val="nil"/>
              <w:right w:val="nil"/>
            </w:tcBorders>
            <w:shd w:val="clear" w:color="auto" w:fill="auto"/>
            <w:vAlign w:val="center"/>
            <w:hideMark/>
          </w:tcPr>
          <w:p w14:paraId="3730C09B"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0.64</w:t>
            </w:r>
          </w:p>
        </w:tc>
      </w:tr>
      <w:tr w:rsidR="00EB3855" w:rsidRPr="00F85E6D" w14:paraId="50AB6A9C" w14:textId="77777777" w:rsidTr="00EB3855">
        <w:trPr>
          <w:trHeight w:val="300"/>
        </w:trPr>
        <w:tc>
          <w:tcPr>
            <w:tcW w:w="3686" w:type="dxa"/>
            <w:tcBorders>
              <w:top w:val="nil"/>
              <w:left w:val="nil"/>
              <w:bottom w:val="nil"/>
              <w:right w:val="nil"/>
            </w:tcBorders>
            <w:shd w:val="clear" w:color="auto" w:fill="auto"/>
            <w:vAlign w:val="center"/>
            <w:hideMark/>
          </w:tcPr>
          <w:p w14:paraId="629A4517"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Human-AI Integration</w:t>
            </w:r>
          </w:p>
        </w:tc>
        <w:tc>
          <w:tcPr>
            <w:tcW w:w="2014" w:type="dxa"/>
            <w:tcBorders>
              <w:top w:val="nil"/>
              <w:left w:val="nil"/>
              <w:bottom w:val="nil"/>
              <w:right w:val="nil"/>
            </w:tcBorders>
            <w:shd w:val="clear" w:color="auto" w:fill="auto"/>
            <w:vAlign w:val="center"/>
            <w:hideMark/>
          </w:tcPr>
          <w:p w14:paraId="535973BF"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0.87</w:t>
            </w:r>
          </w:p>
        </w:tc>
        <w:tc>
          <w:tcPr>
            <w:tcW w:w="3372" w:type="dxa"/>
            <w:tcBorders>
              <w:top w:val="nil"/>
              <w:left w:val="nil"/>
              <w:bottom w:val="nil"/>
              <w:right w:val="nil"/>
            </w:tcBorders>
            <w:shd w:val="clear" w:color="auto" w:fill="auto"/>
            <w:vAlign w:val="center"/>
            <w:hideMark/>
          </w:tcPr>
          <w:p w14:paraId="29BA51E9"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0.91</w:t>
            </w:r>
          </w:p>
        </w:tc>
        <w:tc>
          <w:tcPr>
            <w:tcW w:w="993" w:type="dxa"/>
            <w:tcBorders>
              <w:top w:val="nil"/>
              <w:left w:val="nil"/>
              <w:bottom w:val="nil"/>
              <w:right w:val="nil"/>
            </w:tcBorders>
            <w:shd w:val="clear" w:color="auto" w:fill="auto"/>
            <w:vAlign w:val="center"/>
            <w:hideMark/>
          </w:tcPr>
          <w:p w14:paraId="6BE52438"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0.62</w:t>
            </w:r>
          </w:p>
        </w:tc>
      </w:tr>
      <w:tr w:rsidR="00EB3855" w:rsidRPr="00F85E6D" w14:paraId="601D9962" w14:textId="77777777" w:rsidTr="00EB3855">
        <w:trPr>
          <w:trHeight w:val="300"/>
        </w:trPr>
        <w:tc>
          <w:tcPr>
            <w:tcW w:w="3686" w:type="dxa"/>
            <w:tcBorders>
              <w:top w:val="nil"/>
              <w:left w:val="nil"/>
              <w:bottom w:val="single" w:sz="4" w:space="0" w:color="auto"/>
              <w:right w:val="nil"/>
            </w:tcBorders>
            <w:shd w:val="clear" w:color="auto" w:fill="auto"/>
            <w:vAlign w:val="center"/>
            <w:hideMark/>
          </w:tcPr>
          <w:p w14:paraId="5B25BCA9"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Customer Journey Mapping</w:t>
            </w:r>
          </w:p>
        </w:tc>
        <w:tc>
          <w:tcPr>
            <w:tcW w:w="2014" w:type="dxa"/>
            <w:tcBorders>
              <w:top w:val="nil"/>
              <w:left w:val="nil"/>
              <w:bottom w:val="single" w:sz="4" w:space="0" w:color="auto"/>
              <w:right w:val="nil"/>
            </w:tcBorders>
            <w:shd w:val="clear" w:color="auto" w:fill="auto"/>
            <w:vAlign w:val="center"/>
            <w:hideMark/>
          </w:tcPr>
          <w:p w14:paraId="51C37F01"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0.92</w:t>
            </w:r>
          </w:p>
        </w:tc>
        <w:tc>
          <w:tcPr>
            <w:tcW w:w="3372" w:type="dxa"/>
            <w:tcBorders>
              <w:top w:val="nil"/>
              <w:left w:val="nil"/>
              <w:bottom w:val="single" w:sz="4" w:space="0" w:color="auto"/>
              <w:right w:val="nil"/>
            </w:tcBorders>
            <w:shd w:val="clear" w:color="auto" w:fill="auto"/>
            <w:vAlign w:val="center"/>
            <w:hideMark/>
          </w:tcPr>
          <w:p w14:paraId="53EC1A82"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0.95</w:t>
            </w:r>
          </w:p>
        </w:tc>
        <w:tc>
          <w:tcPr>
            <w:tcW w:w="993" w:type="dxa"/>
            <w:tcBorders>
              <w:top w:val="nil"/>
              <w:left w:val="nil"/>
              <w:bottom w:val="single" w:sz="4" w:space="0" w:color="auto"/>
              <w:right w:val="nil"/>
            </w:tcBorders>
            <w:shd w:val="clear" w:color="auto" w:fill="auto"/>
            <w:vAlign w:val="center"/>
            <w:hideMark/>
          </w:tcPr>
          <w:p w14:paraId="23C1E291"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0.70</w:t>
            </w:r>
          </w:p>
        </w:tc>
      </w:tr>
    </w:tbl>
    <w:p w14:paraId="6A923418" w14:textId="77777777" w:rsidR="00EB3855" w:rsidRPr="003576CC" w:rsidRDefault="00EB3855" w:rsidP="00EB3855">
      <w:pPr>
        <w:jc w:val="both"/>
        <w:rPr>
          <w:rFonts w:ascii="Gulliver" w:hAnsi="Gulliver"/>
          <w:i/>
          <w:iCs/>
          <w:sz w:val="16"/>
          <w:szCs w:val="16"/>
        </w:rPr>
      </w:pPr>
      <w:r w:rsidRPr="00C27454">
        <w:rPr>
          <w:rFonts w:ascii="Gulliver" w:hAnsi="Gulliver"/>
          <w:i/>
          <w:iCs/>
          <w:sz w:val="16"/>
          <w:szCs w:val="16"/>
        </w:rPr>
        <w:t>Source data; processed by the author in observation 2024</w:t>
      </w:r>
    </w:p>
    <w:p w14:paraId="66807B0B" w14:textId="77777777" w:rsidR="00EB3855" w:rsidRDefault="00EB3855" w:rsidP="00EB3855">
      <w:pPr>
        <w:spacing w:before="240"/>
        <w:rPr>
          <w:rFonts w:ascii="Gulliver" w:hAnsi="Gulliver"/>
          <w:sz w:val="20"/>
          <w:szCs w:val="20"/>
        </w:rPr>
      </w:pPr>
      <w:r w:rsidRPr="00EB3855">
        <w:rPr>
          <w:rFonts w:ascii="Gulliver" w:hAnsi="Gulliver"/>
          <w:b/>
          <w:bCs/>
          <w:color w:val="1F3864" w:themeColor="accent1" w:themeShade="80"/>
          <w:sz w:val="20"/>
          <w:szCs w:val="20"/>
        </w:rPr>
        <w:t>Table 5:</w:t>
      </w:r>
      <w:r w:rsidRPr="00EB3855">
        <w:rPr>
          <w:rFonts w:ascii="Gulliver" w:hAnsi="Gulliver"/>
          <w:color w:val="1F3864" w:themeColor="accent1" w:themeShade="80"/>
          <w:sz w:val="20"/>
          <w:szCs w:val="20"/>
        </w:rPr>
        <w:t xml:space="preserve"> </w:t>
      </w:r>
      <w:proofErr w:type="spellStart"/>
      <w:r w:rsidRPr="00F85E6D">
        <w:rPr>
          <w:rFonts w:ascii="Gulliver" w:hAnsi="Gulliver"/>
          <w:sz w:val="20"/>
          <w:szCs w:val="20"/>
        </w:rPr>
        <w:t>Fornell-Larcker</w:t>
      </w:r>
      <w:proofErr w:type="spellEnd"/>
      <w:r w:rsidRPr="00F85E6D">
        <w:rPr>
          <w:rFonts w:ascii="Gulliver" w:hAnsi="Gulliver"/>
          <w:sz w:val="20"/>
          <w:szCs w:val="20"/>
        </w:rPr>
        <w:t xml:space="preserve"> Criterion</w:t>
      </w:r>
    </w:p>
    <w:tbl>
      <w:tblPr>
        <w:tblW w:w="10206" w:type="dxa"/>
        <w:tblLook w:val="04A0" w:firstRow="1" w:lastRow="0" w:firstColumn="1" w:lastColumn="0" w:noHBand="0" w:noVBand="1"/>
      </w:tblPr>
      <w:tblGrid>
        <w:gridCol w:w="3980"/>
        <w:gridCol w:w="1300"/>
        <w:gridCol w:w="1180"/>
        <w:gridCol w:w="960"/>
        <w:gridCol w:w="1652"/>
        <w:gridCol w:w="1134"/>
      </w:tblGrid>
      <w:tr w:rsidR="00EB3855" w:rsidRPr="00F85E6D" w14:paraId="6DE8F0BD" w14:textId="77777777" w:rsidTr="00EB3855">
        <w:trPr>
          <w:trHeight w:val="300"/>
          <w:tblHeader/>
        </w:trPr>
        <w:tc>
          <w:tcPr>
            <w:tcW w:w="3980" w:type="dxa"/>
            <w:tcBorders>
              <w:top w:val="single" w:sz="4" w:space="0" w:color="auto"/>
              <w:left w:val="nil"/>
              <w:bottom w:val="single" w:sz="4" w:space="0" w:color="auto"/>
              <w:right w:val="nil"/>
            </w:tcBorders>
            <w:shd w:val="clear" w:color="auto" w:fill="auto"/>
            <w:vAlign w:val="center"/>
            <w:hideMark/>
          </w:tcPr>
          <w:p w14:paraId="69FD48D5"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Construct</w:t>
            </w:r>
          </w:p>
        </w:tc>
        <w:tc>
          <w:tcPr>
            <w:tcW w:w="1300" w:type="dxa"/>
            <w:tcBorders>
              <w:top w:val="single" w:sz="4" w:space="0" w:color="auto"/>
              <w:left w:val="nil"/>
              <w:bottom w:val="single" w:sz="4" w:space="0" w:color="auto"/>
              <w:right w:val="nil"/>
            </w:tcBorders>
            <w:shd w:val="clear" w:color="auto" w:fill="auto"/>
            <w:vAlign w:val="center"/>
            <w:hideMark/>
          </w:tcPr>
          <w:p w14:paraId="34E00C8A"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PA</w:t>
            </w:r>
          </w:p>
        </w:tc>
        <w:tc>
          <w:tcPr>
            <w:tcW w:w="1180" w:type="dxa"/>
            <w:tcBorders>
              <w:top w:val="single" w:sz="4" w:space="0" w:color="auto"/>
              <w:left w:val="nil"/>
              <w:bottom w:val="single" w:sz="4" w:space="0" w:color="auto"/>
              <w:right w:val="nil"/>
            </w:tcBorders>
            <w:shd w:val="clear" w:color="auto" w:fill="auto"/>
            <w:vAlign w:val="center"/>
            <w:hideMark/>
          </w:tcPr>
          <w:p w14:paraId="124DD8F6"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ID</w:t>
            </w:r>
          </w:p>
        </w:tc>
        <w:tc>
          <w:tcPr>
            <w:tcW w:w="960" w:type="dxa"/>
            <w:tcBorders>
              <w:top w:val="single" w:sz="4" w:space="0" w:color="auto"/>
              <w:left w:val="nil"/>
              <w:bottom w:val="single" w:sz="4" w:space="0" w:color="auto"/>
              <w:right w:val="nil"/>
            </w:tcBorders>
            <w:shd w:val="clear" w:color="auto" w:fill="auto"/>
            <w:vAlign w:val="center"/>
            <w:hideMark/>
          </w:tcPr>
          <w:p w14:paraId="4F890C24"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TA</w:t>
            </w:r>
          </w:p>
        </w:tc>
        <w:tc>
          <w:tcPr>
            <w:tcW w:w="1652" w:type="dxa"/>
            <w:tcBorders>
              <w:top w:val="single" w:sz="4" w:space="0" w:color="auto"/>
              <w:left w:val="nil"/>
              <w:bottom w:val="single" w:sz="4" w:space="0" w:color="auto"/>
              <w:right w:val="nil"/>
            </w:tcBorders>
            <w:shd w:val="clear" w:color="auto" w:fill="auto"/>
            <w:vAlign w:val="center"/>
            <w:hideMark/>
          </w:tcPr>
          <w:p w14:paraId="57A39273"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HI</w:t>
            </w:r>
          </w:p>
        </w:tc>
        <w:tc>
          <w:tcPr>
            <w:tcW w:w="1134" w:type="dxa"/>
            <w:tcBorders>
              <w:top w:val="single" w:sz="4" w:space="0" w:color="auto"/>
              <w:left w:val="nil"/>
              <w:bottom w:val="single" w:sz="4" w:space="0" w:color="auto"/>
              <w:right w:val="nil"/>
            </w:tcBorders>
            <w:shd w:val="clear" w:color="auto" w:fill="auto"/>
            <w:vAlign w:val="center"/>
            <w:hideMark/>
          </w:tcPr>
          <w:p w14:paraId="393629A8" w14:textId="77777777" w:rsidR="00EB3855" w:rsidRPr="00F85E6D" w:rsidRDefault="00EB3855" w:rsidP="004F00FE">
            <w:pPr>
              <w:spacing w:after="0" w:line="240" w:lineRule="auto"/>
              <w:jc w:val="center"/>
              <w:rPr>
                <w:rFonts w:ascii="Gulliver" w:eastAsia="Times New Roman" w:hAnsi="Gulliver" w:cs="Calibri"/>
                <w:b/>
                <w:bCs/>
                <w:color w:val="000000"/>
                <w:sz w:val="20"/>
                <w:szCs w:val="20"/>
                <w:lang w:eastAsia="en-ID"/>
              </w:rPr>
            </w:pPr>
            <w:r w:rsidRPr="00F85E6D">
              <w:rPr>
                <w:rFonts w:ascii="Gulliver" w:eastAsia="Times New Roman" w:hAnsi="Gulliver" w:cs="Calibri"/>
                <w:b/>
                <w:bCs/>
                <w:color w:val="000000"/>
                <w:sz w:val="20"/>
                <w:szCs w:val="20"/>
                <w:lang w:eastAsia="en-ID"/>
              </w:rPr>
              <w:t>CJM</w:t>
            </w:r>
          </w:p>
        </w:tc>
      </w:tr>
      <w:tr w:rsidR="00EB3855" w:rsidRPr="00F85E6D" w14:paraId="434F3A02" w14:textId="77777777" w:rsidTr="004F00FE">
        <w:trPr>
          <w:trHeight w:val="300"/>
        </w:trPr>
        <w:tc>
          <w:tcPr>
            <w:tcW w:w="3980" w:type="dxa"/>
            <w:tcBorders>
              <w:top w:val="nil"/>
              <w:left w:val="nil"/>
              <w:bottom w:val="nil"/>
              <w:right w:val="nil"/>
            </w:tcBorders>
            <w:shd w:val="clear" w:color="auto" w:fill="auto"/>
            <w:vAlign w:val="center"/>
            <w:hideMark/>
          </w:tcPr>
          <w:p w14:paraId="1C687348"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Prediction Accuracy (PA)</w:t>
            </w:r>
          </w:p>
        </w:tc>
        <w:tc>
          <w:tcPr>
            <w:tcW w:w="1300" w:type="dxa"/>
            <w:tcBorders>
              <w:top w:val="nil"/>
              <w:left w:val="nil"/>
              <w:bottom w:val="nil"/>
              <w:right w:val="nil"/>
            </w:tcBorders>
            <w:shd w:val="clear" w:color="auto" w:fill="auto"/>
            <w:vAlign w:val="center"/>
            <w:hideMark/>
          </w:tcPr>
          <w:p w14:paraId="6E1B44EE"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0.80</w:t>
            </w:r>
          </w:p>
        </w:tc>
        <w:tc>
          <w:tcPr>
            <w:tcW w:w="1180" w:type="dxa"/>
            <w:tcBorders>
              <w:top w:val="nil"/>
              <w:left w:val="nil"/>
              <w:bottom w:val="nil"/>
              <w:right w:val="nil"/>
            </w:tcBorders>
            <w:shd w:val="clear" w:color="auto" w:fill="auto"/>
            <w:vAlign w:val="center"/>
            <w:hideMark/>
          </w:tcPr>
          <w:p w14:paraId="27304C02"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0.56</w:t>
            </w:r>
          </w:p>
        </w:tc>
        <w:tc>
          <w:tcPr>
            <w:tcW w:w="960" w:type="dxa"/>
            <w:tcBorders>
              <w:top w:val="nil"/>
              <w:left w:val="nil"/>
              <w:bottom w:val="nil"/>
              <w:right w:val="nil"/>
            </w:tcBorders>
            <w:shd w:val="clear" w:color="auto" w:fill="auto"/>
            <w:vAlign w:val="center"/>
            <w:hideMark/>
          </w:tcPr>
          <w:p w14:paraId="02E0B1C9"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0.52</w:t>
            </w:r>
          </w:p>
        </w:tc>
        <w:tc>
          <w:tcPr>
            <w:tcW w:w="1652" w:type="dxa"/>
            <w:tcBorders>
              <w:top w:val="nil"/>
              <w:left w:val="nil"/>
              <w:bottom w:val="nil"/>
              <w:right w:val="nil"/>
            </w:tcBorders>
            <w:shd w:val="clear" w:color="auto" w:fill="auto"/>
            <w:vAlign w:val="center"/>
            <w:hideMark/>
          </w:tcPr>
          <w:p w14:paraId="01112352"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0.48</w:t>
            </w:r>
          </w:p>
        </w:tc>
        <w:tc>
          <w:tcPr>
            <w:tcW w:w="1134" w:type="dxa"/>
            <w:tcBorders>
              <w:top w:val="nil"/>
              <w:left w:val="nil"/>
              <w:bottom w:val="nil"/>
              <w:right w:val="nil"/>
            </w:tcBorders>
            <w:shd w:val="clear" w:color="auto" w:fill="auto"/>
            <w:vAlign w:val="center"/>
            <w:hideMark/>
          </w:tcPr>
          <w:p w14:paraId="0984B638"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0.61</w:t>
            </w:r>
          </w:p>
        </w:tc>
      </w:tr>
      <w:tr w:rsidR="00EB3855" w:rsidRPr="00F85E6D" w14:paraId="7612DFFA" w14:textId="77777777" w:rsidTr="004F00FE">
        <w:trPr>
          <w:trHeight w:val="300"/>
        </w:trPr>
        <w:tc>
          <w:tcPr>
            <w:tcW w:w="3980" w:type="dxa"/>
            <w:tcBorders>
              <w:top w:val="nil"/>
              <w:left w:val="nil"/>
              <w:bottom w:val="nil"/>
              <w:right w:val="nil"/>
            </w:tcBorders>
            <w:shd w:val="clear" w:color="auto" w:fill="auto"/>
            <w:vAlign w:val="center"/>
            <w:hideMark/>
          </w:tcPr>
          <w:p w14:paraId="51714A3B"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Insights from Data (ID)</w:t>
            </w:r>
          </w:p>
        </w:tc>
        <w:tc>
          <w:tcPr>
            <w:tcW w:w="1300" w:type="dxa"/>
            <w:tcBorders>
              <w:top w:val="nil"/>
              <w:left w:val="nil"/>
              <w:bottom w:val="nil"/>
              <w:right w:val="nil"/>
            </w:tcBorders>
            <w:shd w:val="clear" w:color="auto" w:fill="auto"/>
            <w:vAlign w:val="center"/>
            <w:hideMark/>
          </w:tcPr>
          <w:p w14:paraId="02398DE2"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0.56</w:t>
            </w:r>
          </w:p>
        </w:tc>
        <w:tc>
          <w:tcPr>
            <w:tcW w:w="1180" w:type="dxa"/>
            <w:tcBorders>
              <w:top w:val="nil"/>
              <w:left w:val="nil"/>
              <w:bottom w:val="nil"/>
              <w:right w:val="nil"/>
            </w:tcBorders>
            <w:shd w:val="clear" w:color="auto" w:fill="auto"/>
            <w:vAlign w:val="center"/>
            <w:hideMark/>
          </w:tcPr>
          <w:p w14:paraId="7504BF69"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0.82</w:t>
            </w:r>
          </w:p>
        </w:tc>
        <w:tc>
          <w:tcPr>
            <w:tcW w:w="960" w:type="dxa"/>
            <w:tcBorders>
              <w:top w:val="nil"/>
              <w:left w:val="nil"/>
              <w:bottom w:val="nil"/>
              <w:right w:val="nil"/>
            </w:tcBorders>
            <w:shd w:val="clear" w:color="auto" w:fill="auto"/>
            <w:vAlign w:val="center"/>
            <w:hideMark/>
          </w:tcPr>
          <w:p w14:paraId="523014B5"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0.54</w:t>
            </w:r>
          </w:p>
        </w:tc>
        <w:tc>
          <w:tcPr>
            <w:tcW w:w="1652" w:type="dxa"/>
            <w:tcBorders>
              <w:top w:val="nil"/>
              <w:left w:val="nil"/>
              <w:bottom w:val="nil"/>
              <w:right w:val="nil"/>
            </w:tcBorders>
            <w:shd w:val="clear" w:color="auto" w:fill="auto"/>
            <w:vAlign w:val="center"/>
            <w:hideMark/>
          </w:tcPr>
          <w:p w14:paraId="19975460"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0.50</w:t>
            </w:r>
          </w:p>
        </w:tc>
        <w:tc>
          <w:tcPr>
            <w:tcW w:w="1134" w:type="dxa"/>
            <w:tcBorders>
              <w:top w:val="nil"/>
              <w:left w:val="nil"/>
              <w:bottom w:val="nil"/>
              <w:right w:val="nil"/>
            </w:tcBorders>
            <w:shd w:val="clear" w:color="auto" w:fill="auto"/>
            <w:vAlign w:val="center"/>
            <w:hideMark/>
          </w:tcPr>
          <w:p w14:paraId="5D8C9A93"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0.58</w:t>
            </w:r>
          </w:p>
        </w:tc>
      </w:tr>
      <w:tr w:rsidR="00EB3855" w:rsidRPr="00F85E6D" w14:paraId="44AD18D3" w14:textId="77777777" w:rsidTr="004F00FE">
        <w:trPr>
          <w:trHeight w:val="300"/>
        </w:trPr>
        <w:tc>
          <w:tcPr>
            <w:tcW w:w="3980" w:type="dxa"/>
            <w:tcBorders>
              <w:top w:val="nil"/>
              <w:left w:val="nil"/>
              <w:bottom w:val="nil"/>
              <w:right w:val="nil"/>
            </w:tcBorders>
            <w:shd w:val="clear" w:color="auto" w:fill="auto"/>
            <w:vAlign w:val="center"/>
            <w:hideMark/>
          </w:tcPr>
          <w:p w14:paraId="4D276D36"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Transparent Analysis (TA)</w:t>
            </w:r>
          </w:p>
        </w:tc>
        <w:tc>
          <w:tcPr>
            <w:tcW w:w="1300" w:type="dxa"/>
            <w:tcBorders>
              <w:top w:val="nil"/>
              <w:left w:val="nil"/>
              <w:bottom w:val="nil"/>
              <w:right w:val="nil"/>
            </w:tcBorders>
            <w:shd w:val="clear" w:color="auto" w:fill="auto"/>
            <w:vAlign w:val="center"/>
            <w:hideMark/>
          </w:tcPr>
          <w:p w14:paraId="7C957FF6"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0.52</w:t>
            </w:r>
          </w:p>
        </w:tc>
        <w:tc>
          <w:tcPr>
            <w:tcW w:w="1180" w:type="dxa"/>
            <w:tcBorders>
              <w:top w:val="nil"/>
              <w:left w:val="nil"/>
              <w:bottom w:val="nil"/>
              <w:right w:val="nil"/>
            </w:tcBorders>
            <w:shd w:val="clear" w:color="auto" w:fill="auto"/>
            <w:vAlign w:val="center"/>
            <w:hideMark/>
          </w:tcPr>
          <w:p w14:paraId="0E5B0E49"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0.54</w:t>
            </w:r>
          </w:p>
        </w:tc>
        <w:tc>
          <w:tcPr>
            <w:tcW w:w="960" w:type="dxa"/>
            <w:tcBorders>
              <w:top w:val="nil"/>
              <w:left w:val="nil"/>
              <w:bottom w:val="nil"/>
              <w:right w:val="nil"/>
            </w:tcBorders>
            <w:shd w:val="clear" w:color="auto" w:fill="auto"/>
            <w:vAlign w:val="center"/>
            <w:hideMark/>
          </w:tcPr>
          <w:p w14:paraId="563FBB31"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0.80</w:t>
            </w:r>
          </w:p>
        </w:tc>
        <w:tc>
          <w:tcPr>
            <w:tcW w:w="1652" w:type="dxa"/>
            <w:tcBorders>
              <w:top w:val="nil"/>
              <w:left w:val="nil"/>
              <w:bottom w:val="nil"/>
              <w:right w:val="nil"/>
            </w:tcBorders>
            <w:shd w:val="clear" w:color="auto" w:fill="auto"/>
            <w:vAlign w:val="center"/>
            <w:hideMark/>
          </w:tcPr>
          <w:p w14:paraId="65FD3B3D"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0.47</w:t>
            </w:r>
          </w:p>
        </w:tc>
        <w:tc>
          <w:tcPr>
            <w:tcW w:w="1134" w:type="dxa"/>
            <w:tcBorders>
              <w:top w:val="nil"/>
              <w:left w:val="nil"/>
              <w:bottom w:val="nil"/>
              <w:right w:val="nil"/>
            </w:tcBorders>
            <w:shd w:val="clear" w:color="auto" w:fill="auto"/>
            <w:vAlign w:val="center"/>
            <w:hideMark/>
          </w:tcPr>
          <w:p w14:paraId="3ED67757"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0.55</w:t>
            </w:r>
          </w:p>
        </w:tc>
      </w:tr>
      <w:tr w:rsidR="00EB3855" w:rsidRPr="00F85E6D" w14:paraId="65F13186" w14:textId="77777777" w:rsidTr="004F00FE">
        <w:trPr>
          <w:trHeight w:val="300"/>
        </w:trPr>
        <w:tc>
          <w:tcPr>
            <w:tcW w:w="3980" w:type="dxa"/>
            <w:tcBorders>
              <w:top w:val="nil"/>
              <w:left w:val="nil"/>
              <w:bottom w:val="nil"/>
              <w:right w:val="nil"/>
            </w:tcBorders>
            <w:shd w:val="clear" w:color="auto" w:fill="auto"/>
            <w:vAlign w:val="center"/>
            <w:hideMark/>
          </w:tcPr>
          <w:p w14:paraId="3F9E36C9"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Human-AI Integration (HI)</w:t>
            </w:r>
          </w:p>
        </w:tc>
        <w:tc>
          <w:tcPr>
            <w:tcW w:w="1300" w:type="dxa"/>
            <w:tcBorders>
              <w:top w:val="nil"/>
              <w:left w:val="nil"/>
              <w:bottom w:val="nil"/>
              <w:right w:val="nil"/>
            </w:tcBorders>
            <w:shd w:val="clear" w:color="auto" w:fill="auto"/>
            <w:vAlign w:val="center"/>
            <w:hideMark/>
          </w:tcPr>
          <w:p w14:paraId="33A89895"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0.48</w:t>
            </w:r>
          </w:p>
        </w:tc>
        <w:tc>
          <w:tcPr>
            <w:tcW w:w="1180" w:type="dxa"/>
            <w:tcBorders>
              <w:top w:val="nil"/>
              <w:left w:val="nil"/>
              <w:bottom w:val="nil"/>
              <w:right w:val="nil"/>
            </w:tcBorders>
            <w:shd w:val="clear" w:color="auto" w:fill="auto"/>
            <w:vAlign w:val="center"/>
            <w:hideMark/>
          </w:tcPr>
          <w:p w14:paraId="65F2649E"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0.50</w:t>
            </w:r>
          </w:p>
        </w:tc>
        <w:tc>
          <w:tcPr>
            <w:tcW w:w="960" w:type="dxa"/>
            <w:tcBorders>
              <w:top w:val="nil"/>
              <w:left w:val="nil"/>
              <w:bottom w:val="nil"/>
              <w:right w:val="nil"/>
            </w:tcBorders>
            <w:shd w:val="clear" w:color="auto" w:fill="auto"/>
            <w:vAlign w:val="center"/>
            <w:hideMark/>
          </w:tcPr>
          <w:p w14:paraId="1F0AEF19"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0.47</w:t>
            </w:r>
          </w:p>
        </w:tc>
        <w:tc>
          <w:tcPr>
            <w:tcW w:w="1652" w:type="dxa"/>
            <w:tcBorders>
              <w:top w:val="nil"/>
              <w:left w:val="nil"/>
              <w:bottom w:val="nil"/>
              <w:right w:val="nil"/>
            </w:tcBorders>
            <w:shd w:val="clear" w:color="auto" w:fill="auto"/>
            <w:vAlign w:val="center"/>
            <w:hideMark/>
          </w:tcPr>
          <w:p w14:paraId="01834291"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0.79</w:t>
            </w:r>
          </w:p>
        </w:tc>
        <w:tc>
          <w:tcPr>
            <w:tcW w:w="1134" w:type="dxa"/>
            <w:tcBorders>
              <w:top w:val="nil"/>
              <w:left w:val="nil"/>
              <w:bottom w:val="nil"/>
              <w:right w:val="nil"/>
            </w:tcBorders>
            <w:shd w:val="clear" w:color="auto" w:fill="auto"/>
            <w:vAlign w:val="center"/>
            <w:hideMark/>
          </w:tcPr>
          <w:p w14:paraId="239D55CC"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0.52</w:t>
            </w:r>
          </w:p>
        </w:tc>
      </w:tr>
      <w:tr w:rsidR="00EB3855" w:rsidRPr="00F85E6D" w14:paraId="77910579" w14:textId="77777777" w:rsidTr="004F00FE">
        <w:trPr>
          <w:trHeight w:val="300"/>
        </w:trPr>
        <w:tc>
          <w:tcPr>
            <w:tcW w:w="3980" w:type="dxa"/>
            <w:tcBorders>
              <w:top w:val="nil"/>
              <w:left w:val="nil"/>
              <w:bottom w:val="single" w:sz="4" w:space="0" w:color="auto"/>
              <w:right w:val="nil"/>
            </w:tcBorders>
            <w:shd w:val="clear" w:color="auto" w:fill="auto"/>
            <w:vAlign w:val="center"/>
            <w:hideMark/>
          </w:tcPr>
          <w:p w14:paraId="7105D2C8" w14:textId="77777777" w:rsidR="00EB3855" w:rsidRPr="00F85E6D" w:rsidRDefault="00EB3855" w:rsidP="004F00FE">
            <w:pPr>
              <w:spacing w:after="0" w:line="240" w:lineRule="auto"/>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Customer Journey Mapping (CJM)</w:t>
            </w:r>
          </w:p>
        </w:tc>
        <w:tc>
          <w:tcPr>
            <w:tcW w:w="1300" w:type="dxa"/>
            <w:tcBorders>
              <w:top w:val="nil"/>
              <w:left w:val="nil"/>
              <w:bottom w:val="single" w:sz="4" w:space="0" w:color="auto"/>
              <w:right w:val="nil"/>
            </w:tcBorders>
            <w:shd w:val="clear" w:color="auto" w:fill="auto"/>
            <w:vAlign w:val="center"/>
            <w:hideMark/>
          </w:tcPr>
          <w:p w14:paraId="077436CD"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0.61</w:t>
            </w:r>
          </w:p>
        </w:tc>
        <w:tc>
          <w:tcPr>
            <w:tcW w:w="1180" w:type="dxa"/>
            <w:tcBorders>
              <w:top w:val="nil"/>
              <w:left w:val="nil"/>
              <w:bottom w:val="single" w:sz="4" w:space="0" w:color="auto"/>
              <w:right w:val="nil"/>
            </w:tcBorders>
            <w:shd w:val="clear" w:color="auto" w:fill="auto"/>
            <w:vAlign w:val="center"/>
            <w:hideMark/>
          </w:tcPr>
          <w:p w14:paraId="1066F891"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0.58</w:t>
            </w:r>
          </w:p>
        </w:tc>
        <w:tc>
          <w:tcPr>
            <w:tcW w:w="960" w:type="dxa"/>
            <w:tcBorders>
              <w:top w:val="nil"/>
              <w:left w:val="nil"/>
              <w:bottom w:val="single" w:sz="4" w:space="0" w:color="auto"/>
              <w:right w:val="nil"/>
            </w:tcBorders>
            <w:shd w:val="clear" w:color="auto" w:fill="auto"/>
            <w:vAlign w:val="center"/>
            <w:hideMark/>
          </w:tcPr>
          <w:p w14:paraId="595A9EF4"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0.55</w:t>
            </w:r>
          </w:p>
        </w:tc>
        <w:tc>
          <w:tcPr>
            <w:tcW w:w="1652" w:type="dxa"/>
            <w:tcBorders>
              <w:top w:val="nil"/>
              <w:left w:val="nil"/>
              <w:bottom w:val="single" w:sz="4" w:space="0" w:color="auto"/>
              <w:right w:val="nil"/>
            </w:tcBorders>
            <w:shd w:val="clear" w:color="auto" w:fill="auto"/>
            <w:vAlign w:val="center"/>
            <w:hideMark/>
          </w:tcPr>
          <w:p w14:paraId="0490CD09"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0.52</w:t>
            </w:r>
          </w:p>
        </w:tc>
        <w:tc>
          <w:tcPr>
            <w:tcW w:w="1134" w:type="dxa"/>
            <w:tcBorders>
              <w:top w:val="nil"/>
              <w:left w:val="nil"/>
              <w:bottom w:val="single" w:sz="4" w:space="0" w:color="auto"/>
              <w:right w:val="nil"/>
            </w:tcBorders>
            <w:shd w:val="clear" w:color="auto" w:fill="auto"/>
            <w:vAlign w:val="center"/>
            <w:hideMark/>
          </w:tcPr>
          <w:p w14:paraId="4216964E" w14:textId="77777777" w:rsidR="00EB3855" w:rsidRPr="00F85E6D" w:rsidRDefault="00EB3855" w:rsidP="004F00FE">
            <w:pPr>
              <w:spacing w:after="0" w:line="240" w:lineRule="auto"/>
              <w:jc w:val="center"/>
              <w:rPr>
                <w:rFonts w:ascii="Gulliver" w:eastAsia="Times New Roman" w:hAnsi="Gulliver" w:cs="Calibri"/>
                <w:color w:val="000000"/>
                <w:sz w:val="20"/>
                <w:szCs w:val="20"/>
                <w:lang w:eastAsia="en-ID"/>
              </w:rPr>
            </w:pPr>
            <w:r w:rsidRPr="00F85E6D">
              <w:rPr>
                <w:rFonts w:ascii="Gulliver" w:eastAsia="Times New Roman" w:hAnsi="Gulliver" w:cs="Calibri"/>
                <w:color w:val="000000"/>
                <w:sz w:val="20"/>
                <w:szCs w:val="20"/>
                <w:lang w:eastAsia="en-ID"/>
              </w:rPr>
              <w:t>0.84</w:t>
            </w:r>
          </w:p>
        </w:tc>
      </w:tr>
    </w:tbl>
    <w:p w14:paraId="118BFCAE" w14:textId="77777777" w:rsidR="00EB3855" w:rsidRPr="003576CC" w:rsidRDefault="00EB3855" w:rsidP="00EB3855">
      <w:pPr>
        <w:jc w:val="both"/>
        <w:rPr>
          <w:rFonts w:ascii="Gulliver" w:hAnsi="Gulliver"/>
          <w:i/>
          <w:iCs/>
          <w:sz w:val="16"/>
          <w:szCs w:val="16"/>
        </w:rPr>
      </w:pPr>
      <w:r w:rsidRPr="00C27454">
        <w:rPr>
          <w:rFonts w:ascii="Gulliver" w:hAnsi="Gulliver"/>
          <w:i/>
          <w:iCs/>
          <w:sz w:val="16"/>
          <w:szCs w:val="16"/>
        </w:rPr>
        <w:t>Source data; processed by the author in observation 2024</w:t>
      </w:r>
    </w:p>
    <w:p w14:paraId="572145D7" w14:textId="77777777" w:rsidR="00EB3855" w:rsidRDefault="00EB3855" w:rsidP="00EB3855">
      <w:pPr>
        <w:spacing w:before="240"/>
        <w:jc w:val="both"/>
        <w:rPr>
          <w:rFonts w:ascii="Gulliver" w:hAnsi="Gulliver"/>
          <w:sz w:val="20"/>
          <w:szCs w:val="20"/>
        </w:rPr>
      </w:pPr>
      <w:r w:rsidRPr="00EB3855">
        <w:rPr>
          <w:rFonts w:ascii="Gulliver" w:hAnsi="Gulliver"/>
          <w:b/>
          <w:bCs/>
          <w:color w:val="1F3864" w:themeColor="accent1" w:themeShade="80"/>
          <w:sz w:val="20"/>
          <w:szCs w:val="20"/>
        </w:rPr>
        <w:t>Table 6:</w:t>
      </w:r>
      <w:r w:rsidRPr="00EB3855">
        <w:rPr>
          <w:rFonts w:ascii="Gulliver" w:hAnsi="Gulliver"/>
          <w:color w:val="1F3864" w:themeColor="accent1" w:themeShade="80"/>
          <w:sz w:val="20"/>
          <w:szCs w:val="20"/>
        </w:rPr>
        <w:t xml:space="preserve"> </w:t>
      </w:r>
      <w:r w:rsidRPr="00AD3C00">
        <w:rPr>
          <w:rFonts w:ascii="Gulliver" w:hAnsi="Gulliver"/>
          <w:sz w:val="20"/>
          <w:szCs w:val="20"/>
        </w:rPr>
        <w:t>Hypothesis Testing</w:t>
      </w:r>
    </w:p>
    <w:tbl>
      <w:tblPr>
        <w:tblW w:w="10246" w:type="dxa"/>
        <w:tblLook w:val="04A0" w:firstRow="1" w:lastRow="0" w:firstColumn="1" w:lastColumn="0" w:noHBand="0" w:noVBand="1"/>
      </w:tblPr>
      <w:tblGrid>
        <w:gridCol w:w="4782"/>
        <w:gridCol w:w="2086"/>
        <w:gridCol w:w="1089"/>
        <w:gridCol w:w="1015"/>
        <w:gridCol w:w="1274"/>
      </w:tblGrid>
      <w:tr w:rsidR="00EB3855" w:rsidRPr="00AD3C00" w14:paraId="6684B7CF" w14:textId="77777777" w:rsidTr="004F00FE">
        <w:trPr>
          <w:trHeight w:val="269"/>
        </w:trPr>
        <w:tc>
          <w:tcPr>
            <w:tcW w:w="4782" w:type="dxa"/>
            <w:tcBorders>
              <w:top w:val="single" w:sz="4" w:space="0" w:color="auto"/>
              <w:left w:val="nil"/>
              <w:bottom w:val="single" w:sz="4" w:space="0" w:color="auto"/>
              <w:right w:val="nil"/>
            </w:tcBorders>
            <w:shd w:val="clear" w:color="auto" w:fill="auto"/>
            <w:vAlign w:val="center"/>
            <w:hideMark/>
          </w:tcPr>
          <w:p w14:paraId="3281365A" w14:textId="77777777" w:rsidR="00EB3855" w:rsidRPr="00AD3C00" w:rsidRDefault="00EB3855" w:rsidP="004F00FE">
            <w:pPr>
              <w:spacing w:after="0" w:line="240" w:lineRule="auto"/>
              <w:jc w:val="center"/>
              <w:rPr>
                <w:rFonts w:ascii="Gulliver" w:eastAsia="Times New Roman" w:hAnsi="Gulliver" w:cs="Calibri"/>
                <w:b/>
                <w:bCs/>
                <w:color w:val="000000"/>
                <w:sz w:val="20"/>
                <w:szCs w:val="20"/>
                <w:lang w:eastAsia="en-ID"/>
              </w:rPr>
            </w:pPr>
            <w:r w:rsidRPr="00AD3C00">
              <w:rPr>
                <w:rFonts w:ascii="Gulliver" w:eastAsia="Times New Roman" w:hAnsi="Gulliver" w:cs="Calibri"/>
                <w:b/>
                <w:bCs/>
                <w:color w:val="000000"/>
                <w:sz w:val="20"/>
                <w:szCs w:val="20"/>
                <w:lang w:eastAsia="en-ID"/>
              </w:rPr>
              <w:t>Hypothesis</w:t>
            </w:r>
          </w:p>
        </w:tc>
        <w:tc>
          <w:tcPr>
            <w:tcW w:w="2086" w:type="dxa"/>
            <w:tcBorders>
              <w:top w:val="single" w:sz="4" w:space="0" w:color="auto"/>
              <w:left w:val="nil"/>
              <w:bottom w:val="single" w:sz="4" w:space="0" w:color="auto"/>
              <w:right w:val="nil"/>
            </w:tcBorders>
            <w:shd w:val="clear" w:color="auto" w:fill="auto"/>
            <w:vAlign w:val="center"/>
            <w:hideMark/>
          </w:tcPr>
          <w:p w14:paraId="220EEE18" w14:textId="77777777" w:rsidR="00EB3855" w:rsidRPr="00AD3C00" w:rsidRDefault="00EB3855" w:rsidP="004F00FE">
            <w:pPr>
              <w:spacing w:after="0" w:line="240" w:lineRule="auto"/>
              <w:jc w:val="center"/>
              <w:rPr>
                <w:rFonts w:ascii="Gulliver" w:eastAsia="Times New Roman" w:hAnsi="Gulliver" w:cs="Calibri"/>
                <w:b/>
                <w:bCs/>
                <w:color w:val="000000"/>
                <w:sz w:val="20"/>
                <w:szCs w:val="20"/>
                <w:lang w:eastAsia="en-ID"/>
              </w:rPr>
            </w:pPr>
            <w:r w:rsidRPr="00AD3C00">
              <w:rPr>
                <w:rFonts w:ascii="Gulliver" w:eastAsia="Times New Roman" w:hAnsi="Gulliver" w:cs="Calibri"/>
                <w:b/>
                <w:bCs/>
                <w:color w:val="000000"/>
                <w:sz w:val="20"/>
                <w:szCs w:val="20"/>
                <w:lang w:eastAsia="en-ID"/>
              </w:rPr>
              <w:t>Path Coefficient (β)</w:t>
            </w:r>
          </w:p>
        </w:tc>
        <w:tc>
          <w:tcPr>
            <w:tcW w:w="1089" w:type="dxa"/>
            <w:tcBorders>
              <w:top w:val="single" w:sz="4" w:space="0" w:color="auto"/>
              <w:left w:val="nil"/>
              <w:bottom w:val="single" w:sz="4" w:space="0" w:color="auto"/>
              <w:right w:val="nil"/>
            </w:tcBorders>
            <w:shd w:val="clear" w:color="auto" w:fill="auto"/>
            <w:vAlign w:val="center"/>
            <w:hideMark/>
          </w:tcPr>
          <w:p w14:paraId="31D0C891" w14:textId="77777777" w:rsidR="00EB3855" w:rsidRPr="00AD3C00" w:rsidRDefault="00EB3855" w:rsidP="004F00FE">
            <w:pPr>
              <w:spacing w:after="0" w:line="240" w:lineRule="auto"/>
              <w:jc w:val="center"/>
              <w:rPr>
                <w:rFonts w:ascii="Gulliver" w:eastAsia="Times New Roman" w:hAnsi="Gulliver" w:cs="Calibri"/>
                <w:b/>
                <w:bCs/>
                <w:color w:val="000000"/>
                <w:sz w:val="20"/>
                <w:szCs w:val="20"/>
                <w:lang w:eastAsia="en-ID"/>
              </w:rPr>
            </w:pPr>
            <w:r w:rsidRPr="00AD3C00">
              <w:rPr>
                <w:rFonts w:ascii="Gulliver" w:eastAsia="Times New Roman" w:hAnsi="Gulliver" w:cs="Calibri"/>
                <w:b/>
                <w:bCs/>
                <w:color w:val="000000"/>
                <w:sz w:val="20"/>
                <w:szCs w:val="20"/>
                <w:lang w:eastAsia="en-ID"/>
              </w:rPr>
              <w:t>t-Value</w:t>
            </w:r>
          </w:p>
        </w:tc>
        <w:tc>
          <w:tcPr>
            <w:tcW w:w="1015" w:type="dxa"/>
            <w:tcBorders>
              <w:top w:val="single" w:sz="4" w:space="0" w:color="auto"/>
              <w:left w:val="nil"/>
              <w:bottom w:val="single" w:sz="4" w:space="0" w:color="auto"/>
              <w:right w:val="nil"/>
            </w:tcBorders>
            <w:shd w:val="clear" w:color="auto" w:fill="auto"/>
            <w:vAlign w:val="center"/>
            <w:hideMark/>
          </w:tcPr>
          <w:p w14:paraId="31AB1ED8" w14:textId="77777777" w:rsidR="00EB3855" w:rsidRPr="00AD3C00" w:rsidRDefault="00EB3855" w:rsidP="004F00FE">
            <w:pPr>
              <w:spacing w:after="0" w:line="240" w:lineRule="auto"/>
              <w:jc w:val="center"/>
              <w:rPr>
                <w:rFonts w:ascii="Gulliver" w:eastAsia="Times New Roman" w:hAnsi="Gulliver" w:cs="Calibri"/>
                <w:b/>
                <w:bCs/>
                <w:color w:val="000000"/>
                <w:sz w:val="20"/>
                <w:szCs w:val="20"/>
                <w:lang w:eastAsia="en-ID"/>
              </w:rPr>
            </w:pPr>
            <w:r w:rsidRPr="00AD3C00">
              <w:rPr>
                <w:rFonts w:ascii="Gulliver" w:eastAsia="Times New Roman" w:hAnsi="Gulliver" w:cs="Calibri"/>
                <w:b/>
                <w:bCs/>
                <w:color w:val="000000"/>
                <w:sz w:val="20"/>
                <w:szCs w:val="20"/>
                <w:lang w:eastAsia="en-ID"/>
              </w:rPr>
              <w:t>p-Value</w:t>
            </w:r>
          </w:p>
        </w:tc>
        <w:tc>
          <w:tcPr>
            <w:tcW w:w="1274" w:type="dxa"/>
            <w:tcBorders>
              <w:top w:val="single" w:sz="4" w:space="0" w:color="auto"/>
              <w:left w:val="nil"/>
              <w:bottom w:val="single" w:sz="4" w:space="0" w:color="auto"/>
              <w:right w:val="nil"/>
            </w:tcBorders>
            <w:shd w:val="clear" w:color="auto" w:fill="auto"/>
            <w:vAlign w:val="center"/>
            <w:hideMark/>
          </w:tcPr>
          <w:p w14:paraId="0CCB18D7" w14:textId="77777777" w:rsidR="00EB3855" w:rsidRPr="00AD3C00" w:rsidRDefault="00EB3855" w:rsidP="004F00FE">
            <w:pPr>
              <w:spacing w:after="0" w:line="240" w:lineRule="auto"/>
              <w:jc w:val="center"/>
              <w:rPr>
                <w:rFonts w:ascii="Gulliver" w:eastAsia="Times New Roman" w:hAnsi="Gulliver" w:cs="Calibri"/>
                <w:b/>
                <w:bCs/>
                <w:color w:val="000000"/>
                <w:sz w:val="20"/>
                <w:szCs w:val="20"/>
                <w:lang w:eastAsia="en-ID"/>
              </w:rPr>
            </w:pPr>
            <w:r w:rsidRPr="00AD3C00">
              <w:rPr>
                <w:rFonts w:ascii="Gulliver" w:eastAsia="Times New Roman" w:hAnsi="Gulliver" w:cs="Calibri"/>
                <w:b/>
                <w:bCs/>
                <w:color w:val="000000"/>
                <w:sz w:val="20"/>
                <w:szCs w:val="20"/>
                <w:lang w:eastAsia="en-ID"/>
              </w:rPr>
              <w:t>Result</w:t>
            </w:r>
          </w:p>
        </w:tc>
      </w:tr>
      <w:tr w:rsidR="00EB3855" w:rsidRPr="00AD3C00" w14:paraId="7BFBBB7F" w14:textId="77777777" w:rsidTr="004F00FE">
        <w:trPr>
          <w:trHeight w:val="269"/>
        </w:trPr>
        <w:tc>
          <w:tcPr>
            <w:tcW w:w="4782" w:type="dxa"/>
            <w:tcBorders>
              <w:top w:val="nil"/>
              <w:left w:val="nil"/>
              <w:bottom w:val="nil"/>
              <w:right w:val="nil"/>
            </w:tcBorders>
            <w:shd w:val="clear" w:color="auto" w:fill="auto"/>
            <w:vAlign w:val="center"/>
            <w:hideMark/>
          </w:tcPr>
          <w:p w14:paraId="0C8C79E3" w14:textId="77777777" w:rsidR="00EB3855" w:rsidRPr="00AD3C00" w:rsidRDefault="00EB3855" w:rsidP="004F00FE">
            <w:pPr>
              <w:spacing w:after="0" w:line="240" w:lineRule="auto"/>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ML Methods Improve Prediction Accuracy</w:t>
            </w:r>
          </w:p>
        </w:tc>
        <w:tc>
          <w:tcPr>
            <w:tcW w:w="2086" w:type="dxa"/>
            <w:tcBorders>
              <w:top w:val="nil"/>
              <w:left w:val="nil"/>
              <w:bottom w:val="nil"/>
              <w:right w:val="nil"/>
            </w:tcBorders>
            <w:shd w:val="clear" w:color="auto" w:fill="auto"/>
            <w:vAlign w:val="center"/>
            <w:hideMark/>
          </w:tcPr>
          <w:p w14:paraId="042CAC58"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0.62</w:t>
            </w:r>
          </w:p>
        </w:tc>
        <w:tc>
          <w:tcPr>
            <w:tcW w:w="1089" w:type="dxa"/>
            <w:tcBorders>
              <w:top w:val="nil"/>
              <w:left w:val="nil"/>
              <w:bottom w:val="nil"/>
              <w:right w:val="nil"/>
            </w:tcBorders>
            <w:shd w:val="clear" w:color="auto" w:fill="auto"/>
            <w:vAlign w:val="center"/>
            <w:hideMark/>
          </w:tcPr>
          <w:p w14:paraId="40DC6C42"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12.48</w:t>
            </w:r>
          </w:p>
        </w:tc>
        <w:tc>
          <w:tcPr>
            <w:tcW w:w="1015" w:type="dxa"/>
            <w:tcBorders>
              <w:top w:val="nil"/>
              <w:left w:val="nil"/>
              <w:bottom w:val="nil"/>
              <w:right w:val="nil"/>
            </w:tcBorders>
            <w:shd w:val="clear" w:color="auto" w:fill="auto"/>
            <w:vAlign w:val="center"/>
            <w:hideMark/>
          </w:tcPr>
          <w:p w14:paraId="6331F3F8"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&lt;0.001</w:t>
            </w:r>
          </w:p>
        </w:tc>
        <w:tc>
          <w:tcPr>
            <w:tcW w:w="1274" w:type="dxa"/>
            <w:tcBorders>
              <w:top w:val="nil"/>
              <w:left w:val="nil"/>
              <w:bottom w:val="nil"/>
              <w:right w:val="nil"/>
            </w:tcBorders>
            <w:shd w:val="clear" w:color="auto" w:fill="auto"/>
            <w:vAlign w:val="center"/>
            <w:hideMark/>
          </w:tcPr>
          <w:p w14:paraId="0E6962B0"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Supported</w:t>
            </w:r>
          </w:p>
        </w:tc>
      </w:tr>
      <w:tr w:rsidR="00EB3855" w:rsidRPr="00AD3C00" w14:paraId="719549B2" w14:textId="77777777" w:rsidTr="004F00FE">
        <w:trPr>
          <w:trHeight w:val="269"/>
        </w:trPr>
        <w:tc>
          <w:tcPr>
            <w:tcW w:w="4782" w:type="dxa"/>
            <w:tcBorders>
              <w:top w:val="nil"/>
              <w:left w:val="nil"/>
              <w:bottom w:val="nil"/>
              <w:right w:val="nil"/>
            </w:tcBorders>
            <w:shd w:val="clear" w:color="auto" w:fill="auto"/>
            <w:vAlign w:val="center"/>
            <w:hideMark/>
          </w:tcPr>
          <w:p w14:paraId="0354F4DF" w14:textId="77777777" w:rsidR="00EB3855" w:rsidRPr="00AD3C00" w:rsidRDefault="00EB3855" w:rsidP="004F00FE">
            <w:pPr>
              <w:spacing w:after="0" w:line="240" w:lineRule="auto"/>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ML Enhances Insights from Data</w:t>
            </w:r>
          </w:p>
        </w:tc>
        <w:tc>
          <w:tcPr>
            <w:tcW w:w="2086" w:type="dxa"/>
            <w:tcBorders>
              <w:top w:val="nil"/>
              <w:left w:val="nil"/>
              <w:bottom w:val="nil"/>
              <w:right w:val="nil"/>
            </w:tcBorders>
            <w:shd w:val="clear" w:color="auto" w:fill="auto"/>
            <w:vAlign w:val="center"/>
            <w:hideMark/>
          </w:tcPr>
          <w:p w14:paraId="6D42BAB1"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0.58</w:t>
            </w:r>
          </w:p>
        </w:tc>
        <w:tc>
          <w:tcPr>
            <w:tcW w:w="1089" w:type="dxa"/>
            <w:tcBorders>
              <w:top w:val="nil"/>
              <w:left w:val="nil"/>
              <w:bottom w:val="nil"/>
              <w:right w:val="nil"/>
            </w:tcBorders>
            <w:shd w:val="clear" w:color="auto" w:fill="auto"/>
            <w:vAlign w:val="center"/>
            <w:hideMark/>
          </w:tcPr>
          <w:p w14:paraId="34011489"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10.72</w:t>
            </w:r>
          </w:p>
        </w:tc>
        <w:tc>
          <w:tcPr>
            <w:tcW w:w="1015" w:type="dxa"/>
            <w:tcBorders>
              <w:top w:val="nil"/>
              <w:left w:val="nil"/>
              <w:bottom w:val="nil"/>
              <w:right w:val="nil"/>
            </w:tcBorders>
            <w:shd w:val="clear" w:color="auto" w:fill="auto"/>
            <w:vAlign w:val="center"/>
            <w:hideMark/>
          </w:tcPr>
          <w:p w14:paraId="287D9C78"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&lt;0.001</w:t>
            </w:r>
          </w:p>
        </w:tc>
        <w:tc>
          <w:tcPr>
            <w:tcW w:w="1274" w:type="dxa"/>
            <w:tcBorders>
              <w:top w:val="nil"/>
              <w:left w:val="nil"/>
              <w:bottom w:val="nil"/>
              <w:right w:val="nil"/>
            </w:tcBorders>
            <w:shd w:val="clear" w:color="auto" w:fill="auto"/>
            <w:vAlign w:val="center"/>
            <w:hideMark/>
          </w:tcPr>
          <w:p w14:paraId="75E8731E"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Supported</w:t>
            </w:r>
          </w:p>
        </w:tc>
      </w:tr>
      <w:tr w:rsidR="00EB3855" w:rsidRPr="00AD3C00" w14:paraId="12C9227A" w14:textId="77777777" w:rsidTr="004F00FE">
        <w:trPr>
          <w:trHeight w:val="269"/>
        </w:trPr>
        <w:tc>
          <w:tcPr>
            <w:tcW w:w="4782" w:type="dxa"/>
            <w:tcBorders>
              <w:top w:val="nil"/>
              <w:left w:val="nil"/>
              <w:bottom w:val="nil"/>
              <w:right w:val="nil"/>
            </w:tcBorders>
            <w:shd w:val="clear" w:color="auto" w:fill="auto"/>
            <w:vAlign w:val="center"/>
            <w:hideMark/>
          </w:tcPr>
          <w:p w14:paraId="07391EFD" w14:textId="77777777" w:rsidR="00EB3855" w:rsidRPr="00AD3C00" w:rsidRDefault="00EB3855" w:rsidP="004F00FE">
            <w:pPr>
              <w:spacing w:after="0" w:line="240" w:lineRule="auto"/>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AI Supports Transparent Analysis</w:t>
            </w:r>
          </w:p>
        </w:tc>
        <w:tc>
          <w:tcPr>
            <w:tcW w:w="2086" w:type="dxa"/>
            <w:tcBorders>
              <w:top w:val="nil"/>
              <w:left w:val="nil"/>
              <w:bottom w:val="nil"/>
              <w:right w:val="nil"/>
            </w:tcBorders>
            <w:shd w:val="clear" w:color="auto" w:fill="auto"/>
            <w:vAlign w:val="center"/>
            <w:hideMark/>
          </w:tcPr>
          <w:p w14:paraId="356683FC"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0.53</w:t>
            </w:r>
          </w:p>
        </w:tc>
        <w:tc>
          <w:tcPr>
            <w:tcW w:w="1089" w:type="dxa"/>
            <w:tcBorders>
              <w:top w:val="nil"/>
              <w:left w:val="nil"/>
              <w:bottom w:val="nil"/>
              <w:right w:val="nil"/>
            </w:tcBorders>
            <w:shd w:val="clear" w:color="auto" w:fill="auto"/>
            <w:vAlign w:val="center"/>
            <w:hideMark/>
          </w:tcPr>
          <w:p w14:paraId="38E23D9A"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9.36</w:t>
            </w:r>
          </w:p>
        </w:tc>
        <w:tc>
          <w:tcPr>
            <w:tcW w:w="1015" w:type="dxa"/>
            <w:tcBorders>
              <w:top w:val="nil"/>
              <w:left w:val="nil"/>
              <w:bottom w:val="nil"/>
              <w:right w:val="nil"/>
            </w:tcBorders>
            <w:shd w:val="clear" w:color="auto" w:fill="auto"/>
            <w:vAlign w:val="center"/>
            <w:hideMark/>
          </w:tcPr>
          <w:p w14:paraId="5A621BBA"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&lt;0.001</w:t>
            </w:r>
          </w:p>
        </w:tc>
        <w:tc>
          <w:tcPr>
            <w:tcW w:w="1274" w:type="dxa"/>
            <w:tcBorders>
              <w:top w:val="nil"/>
              <w:left w:val="nil"/>
              <w:bottom w:val="nil"/>
              <w:right w:val="nil"/>
            </w:tcBorders>
            <w:shd w:val="clear" w:color="auto" w:fill="auto"/>
            <w:vAlign w:val="center"/>
            <w:hideMark/>
          </w:tcPr>
          <w:p w14:paraId="00CEA629"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Supported</w:t>
            </w:r>
          </w:p>
        </w:tc>
      </w:tr>
      <w:tr w:rsidR="00EB3855" w:rsidRPr="00AD3C00" w14:paraId="4EE03ABC" w14:textId="77777777" w:rsidTr="004F00FE">
        <w:trPr>
          <w:trHeight w:val="269"/>
        </w:trPr>
        <w:tc>
          <w:tcPr>
            <w:tcW w:w="4782" w:type="dxa"/>
            <w:tcBorders>
              <w:top w:val="nil"/>
              <w:left w:val="nil"/>
              <w:bottom w:val="nil"/>
              <w:right w:val="nil"/>
            </w:tcBorders>
            <w:shd w:val="clear" w:color="auto" w:fill="auto"/>
            <w:vAlign w:val="center"/>
            <w:hideMark/>
          </w:tcPr>
          <w:p w14:paraId="493C62E9" w14:textId="77777777" w:rsidR="00EB3855" w:rsidRPr="00AD3C00" w:rsidRDefault="00EB3855" w:rsidP="004F00FE">
            <w:pPr>
              <w:spacing w:after="0" w:line="240" w:lineRule="auto"/>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Human-AI Integration Enhances Theory</w:t>
            </w:r>
          </w:p>
        </w:tc>
        <w:tc>
          <w:tcPr>
            <w:tcW w:w="2086" w:type="dxa"/>
            <w:tcBorders>
              <w:top w:val="nil"/>
              <w:left w:val="nil"/>
              <w:bottom w:val="nil"/>
              <w:right w:val="nil"/>
            </w:tcBorders>
            <w:shd w:val="clear" w:color="auto" w:fill="auto"/>
            <w:vAlign w:val="center"/>
            <w:hideMark/>
          </w:tcPr>
          <w:p w14:paraId="2CAB59A7"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0.49</w:t>
            </w:r>
          </w:p>
        </w:tc>
        <w:tc>
          <w:tcPr>
            <w:tcW w:w="1089" w:type="dxa"/>
            <w:tcBorders>
              <w:top w:val="nil"/>
              <w:left w:val="nil"/>
              <w:bottom w:val="nil"/>
              <w:right w:val="nil"/>
            </w:tcBorders>
            <w:shd w:val="clear" w:color="auto" w:fill="auto"/>
            <w:vAlign w:val="center"/>
            <w:hideMark/>
          </w:tcPr>
          <w:p w14:paraId="449B2519"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8.21</w:t>
            </w:r>
          </w:p>
        </w:tc>
        <w:tc>
          <w:tcPr>
            <w:tcW w:w="1015" w:type="dxa"/>
            <w:tcBorders>
              <w:top w:val="nil"/>
              <w:left w:val="nil"/>
              <w:bottom w:val="nil"/>
              <w:right w:val="nil"/>
            </w:tcBorders>
            <w:shd w:val="clear" w:color="auto" w:fill="auto"/>
            <w:vAlign w:val="center"/>
            <w:hideMark/>
          </w:tcPr>
          <w:p w14:paraId="0EEB0A39"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&lt;0.001</w:t>
            </w:r>
          </w:p>
        </w:tc>
        <w:tc>
          <w:tcPr>
            <w:tcW w:w="1274" w:type="dxa"/>
            <w:tcBorders>
              <w:top w:val="nil"/>
              <w:left w:val="nil"/>
              <w:bottom w:val="nil"/>
              <w:right w:val="nil"/>
            </w:tcBorders>
            <w:shd w:val="clear" w:color="auto" w:fill="auto"/>
            <w:vAlign w:val="center"/>
            <w:hideMark/>
          </w:tcPr>
          <w:p w14:paraId="69F3F3E3"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Supported</w:t>
            </w:r>
          </w:p>
        </w:tc>
      </w:tr>
      <w:tr w:rsidR="00EB3855" w:rsidRPr="00AD3C00" w14:paraId="08BAB90B" w14:textId="77777777" w:rsidTr="004F00FE">
        <w:trPr>
          <w:trHeight w:val="269"/>
        </w:trPr>
        <w:tc>
          <w:tcPr>
            <w:tcW w:w="4782" w:type="dxa"/>
            <w:tcBorders>
              <w:top w:val="nil"/>
              <w:left w:val="nil"/>
              <w:bottom w:val="single" w:sz="4" w:space="0" w:color="auto"/>
              <w:right w:val="nil"/>
            </w:tcBorders>
            <w:shd w:val="clear" w:color="auto" w:fill="auto"/>
            <w:vAlign w:val="center"/>
            <w:hideMark/>
          </w:tcPr>
          <w:p w14:paraId="0B3A0E06" w14:textId="77777777" w:rsidR="00EB3855" w:rsidRPr="00AD3C00" w:rsidRDefault="00EB3855" w:rsidP="004F00FE">
            <w:pPr>
              <w:spacing w:after="0" w:line="240" w:lineRule="auto"/>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ML Optimizes Customer Journeys</w:t>
            </w:r>
          </w:p>
        </w:tc>
        <w:tc>
          <w:tcPr>
            <w:tcW w:w="2086" w:type="dxa"/>
            <w:tcBorders>
              <w:top w:val="nil"/>
              <w:left w:val="nil"/>
              <w:bottom w:val="single" w:sz="4" w:space="0" w:color="auto"/>
              <w:right w:val="nil"/>
            </w:tcBorders>
            <w:shd w:val="clear" w:color="auto" w:fill="auto"/>
            <w:vAlign w:val="center"/>
            <w:hideMark/>
          </w:tcPr>
          <w:p w14:paraId="4D38B9D8"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0.66</w:t>
            </w:r>
          </w:p>
        </w:tc>
        <w:tc>
          <w:tcPr>
            <w:tcW w:w="1089" w:type="dxa"/>
            <w:tcBorders>
              <w:top w:val="nil"/>
              <w:left w:val="nil"/>
              <w:bottom w:val="single" w:sz="4" w:space="0" w:color="auto"/>
              <w:right w:val="nil"/>
            </w:tcBorders>
            <w:shd w:val="clear" w:color="auto" w:fill="auto"/>
            <w:vAlign w:val="center"/>
            <w:hideMark/>
          </w:tcPr>
          <w:p w14:paraId="143E801E"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14.01</w:t>
            </w:r>
          </w:p>
        </w:tc>
        <w:tc>
          <w:tcPr>
            <w:tcW w:w="1015" w:type="dxa"/>
            <w:tcBorders>
              <w:top w:val="nil"/>
              <w:left w:val="nil"/>
              <w:bottom w:val="single" w:sz="4" w:space="0" w:color="auto"/>
              <w:right w:val="nil"/>
            </w:tcBorders>
            <w:shd w:val="clear" w:color="auto" w:fill="auto"/>
            <w:vAlign w:val="center"/>
            <w:hideMark/>
          </w:tcPr>
          <w:p w14:paraId="3CC5C0E9"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&lt;0.001</w:t>
            </w:r>
          </w:p>
        </w:tc>
        <w:tc>
          <w:tcPr>
            <w:tcW w:w="1274" w:type="dxa"/>
            <w:tcBorders>
              <w:top w:val="nil"/>
              <w:left w:val="nil"/>
              <w:bottom w:val="single" w:sz="4" w:space="0" w:color="auto"/>
              <w:right w:val="nil"/>
            </w:tcBorders>
            <w:shd w:val="clear" w:color="auto" w:fill="auto"/>
            <w:vAlign w:val="center"/>
            <w:hideMark/>
          </w:tcPr>
          <w:p w14:paraId="09868576" w14:textId="77777777" w:rsidR="00EB3855" w:rsidRPr="00AD3C00" w:rsidRDefault="00EB3855" w:rsidP="004F00FE">
            <w:pPr>
              <w:spacing w:after="0" w:line="240" w:lineRule="auto"/>
              <w:jc w:val="center"/>
              <w:rPr>
                <w:rFonts w:ascii="Gulliver" w:eastAsia="Times New Roman" w:hAnsi="Gulliver" w:cs="Calibri"/>
                <w:color w:val="000000"/>
                <w:sz w:val="20"/>
                <w:szCs w:val="20"/>
                <w:lang w:eastAsia="en-ID"/>
              </w:rPr>
            </w:pPr>
            <w:r w:rsidRPr="00AD3C00">
              <w:rPr>
                <w:rFonts w:ascii="Gulliver" w:eastAsia="Times New Roman" w:hAnsi="Gulliver" w:cs="Calibri"/>
                <w:color w:val="000000"/>
                <w:sz w:val="20"/>
                <w:szCs w:val="20"/>
                <w:lang w:eastAsia="en-ID"/>
              </w:rPr>
              <w:t>Supported</w:t>
            </w:r>
          </w:p>
        </w:tc>
      </w:tr>
    </w:tbl>
    <w:p w14:paraId="18EBF044" w14:textId="7E597ECF" w:rsidR="00BC1C62" w:rsidRPr="00EB3855" w:rsidRDefault="00EB3855" w:rsidP="00EB3855">
      <w:pPr>
        <w:spacing w:before="120" w:after="120" w:line="271" w:lineRule="auto"/>
        <w:jc w:val="both"/>
        <w:rPr>
          <w:rFonts w:ascii="Gulliver" w:hAnsi="Gulliver"/>
          <w:sz w:val="20"/>
          <w:szCs w:val="20"/>
        </w:rPr>
      </w:pPr>
      <w:r w:rsidRPr="00C27454">
        <w:rPr>
          <w:rFonts w:ascii="Gulliver" w:hAnsi="Gulliver"/>
          <w:i/>
          <w:iCs/>
          <w:sz w:val="16"/>
          <w:szCs w:val="16"/>
        </w:rPr>
        <w:t>Source data; processed by the author in observation 2024</w:t>
      </w:r>
    </w:p>
    <w:p w14:paraId="1D6344B2" w14:textId="77777777" w:rsidR="00EB3855" w:rsidRDefault="00EB3855" w:rsidP="00EB3855">
      <w:pPr>
        <w:spacing w:before="240"/>
        <w:jc w:val="both"/>
        <w:rPr>
          <w:rFonts w:ascii="Gulliver" w:hAnsi="Gulliver"/>
          <w:sz w:val="20"/>
          <w:szCs w:val="20"/>
        </w:rPr>
      </w:pPr>
      <w:r w:rsidRPr="00EB3855">
        <w:rPr>
          <w:rFonts w:ascii="Gulliver" w:hAnsi="Gulliver"/>
          <w:b/>
          <w:bCs/>
          <w:color w:val="1F3864" w:themeColor="accent1" w:themeShade="80"/>
          <w:sz w:val="20"/>
          <w:szCs w:val="20"/>
        </w:rPr>
        <w:lastRenderedPageBreak/>
        <w:t>Table 7:</w:t>
      </w:r>
      <w:r w:rsidRPr="00EB3855">
        <w:rPr>
          <w:rFonts w:ascii="Gulliver" w:hAnsi="Gulliver"/>
          <w:color w:val="1F3864" w:themeColor="accent1" w:themeShade="80"/>
          <w:sz w:val="20"/>
          <w:szCs w:val="20"/>
        </w:rPr>
        <w:t xml:space="preserve"> </w:t>
      </w:r>
      <w:r w:rsidRPr="001D073D">
        <w:rPr>
          <w:rFonts w:ascii="Gulliver" w:hAnsi="Gulliver"/>
          <w:sz w:val="20"/>
          <w:szCs w:val="20"/>
        </w:rPr>
        <w:t>Values of the R²</w:t>
      </w:r>
    </w:p>
    <w:tbl>
      <w:tblPr>
        <w:tblW w:w="10206" w:type="dxa"/>
        <w:tblLook w:val="04A0" w:firstRow="1" w:lastRow="0" w:firstColumn="1" w:lastColumn="0" w:noHBand="0" w:noVBand="1"/>
      </w:tblPr>
      <w:tblGrid>
        <w:gridCol w:w="5180"/>
        <w:gridCol w:w="2260"/>
        <w:gridCol w:w="2766"/>
      </w:tblGrid>
      <w:tr w:rsidR="00EB3855" w:rsidRPr="003576CC" w14:paraId="294142C2" w14:textId="77777777" w:rsidTr="004F00FE">
        <w:trPr>
          <w:trHeight w:val="300"/>
        </w:trPr>
        <w:tc>
          <w:tcPr>
            <w:tcW w:w="5180" w:type="dxa"/>
            <w:tcBorders>
              <w:top w:val="single" w:sz="4" w:space="0" w:color="auto"/>
              <w:left w:val="nil"/>
              <w:bottom w:val="single" w:sz="4" w:space="0" w:color="auto"/>
              <w:right w:val="nil"/>
            </w:tcBorders>
            <w:shd w:val="clear" w:color="auto" w:fill="auto"/>
            <w:vAlign w:val="center"/>
            <w:hideMark/>
          </w:tcPr>
          <w:p w14:paraId="044F1AF6" w14:textId="77777777" w:rsidR="00EB3855" w:rsidRPr="003576CC" w:rsidRDefault="00EB3855" w:rsidP="004F00FE">
            <w:pPr>
              <w:spacing w:after="0" w:line="240" w:lineRule="auto"/>
              <w:jc w:val="center"/>
              <w:rPr>
                <w:rFonts w:ascii="Gulliver" w:eastAsia="Times New Roman" w:hAnsi="Gulliver" w:cs="Calibri"/>
                <w:b/>
                <w:bCs/>
                <w:color w:val="000000"/>
                <w:sz w:val="20"/>
                <w:szCs w:val="20"/>
                <w:lang w:eastAsia="en-ID"/>
              </w:rPr>
            </w:pPr>
            <w:r w:rsidRPr="003576CC">
              <w:rPr>
                <w:rFonts w:ascii="Gulliver" w:eastAsia="Times New Roman" w:hAnsi="Gulliver" w:cs="Calibri"/>
                <w:b/>
                <w:bCs/>
                <w:color w:val="000000"/>
                <w:sz w:val="20"/>
                <w:szCs w:val="20"/>
                <w:lang w:eastAsia="en-ID"/>
              </w:rPr>
              <w:t>Dependent Variable</w:t>
            </w:r>
          </w:p>
        </w:tc>
        <w:tc>
          <w:tcPr>
            <w:tcW w:w="2260" w:type="dxa"/>
            <w:tcBorders>
              <w:top w:val="single" w:sz="4" w:space="0" w:color="auto"/>
              <w:left w:val="nil"/>
              <w:bottom w:val="single" w:sz="4" w:space="0" w:color="auto"/>
              <w:right w:val="nil"/>
            </w:tcBorders>
            <w:shd w:val="clear" w:color="auto" w:fill="auto"/>
            <w:vAlign w:val="center"/>
            <w:hideMark/>
          </w:tcPr>
          <w:p w14:paraId="69CA0EFB" w14:textId="77777777" w:rsidR="00EB3855" w:rsidRPr="003576CC" w:rsidRDefault="00EB3855" w:rsidP="004F00FE">
            <w:pPr>
              <w:spacing w:after="0" w:line="240" w:lineRule="auto"/>
              <w:jc w:val="center"/>
              <w:rPr>
                <w:rFonts w:ascii="Gulliver" w:eastAsia="Times New Roman" w:hAnsi="Gulliver" w:cs="Calibri"/>
                <w:b/>
                <w:bCs/>
                <w:color w:val="000000"/>
                <w:sz w:val="20"/>
                <w:szCs w:val="20"/>
                <w:lang w:eastAsia="en-ID"/>
              </w:rPr>
            </w:pPr>
            <w:r w:rsidRPr="003576CC">
              <w:rPr>
                <w:rFonts w:ascii="Gulliver" w:eastAsia="Times New Roman" w:hAnsi="Gulliver" w:cs="Calibri"/>
                <w:b/>
                <w:bCs/>
                <w:color w:val="000000"/>
                <w:sz w:val="20"/>
                <w:szCs w:val="20"/>
                <w:lang w:eastAsia="en-ID"/>
              </w:rPr>
              <w:t>R² Value</w:t>
            </w:r>
          </w:p>
        </w:tc>
        <w:tc>
          <w:tcPr>
            <w:tcW w:w="2766" w:type="dxa"/>
            <w:tcBorders>
              <w:top w:val="single" w:sz="4" w:space="0" w:color="auto"/>
              <w:left w:val="nil"/>
              <w:bottom w:val="single" w:sz="4" w:space="0" w:color="auto"/>
              <w:right w:val="nil"/>
            </w:tcBorders>
            <w:shd w:val="clear" w:color="auto" w:fill="auto"/>
            <w:vAlign w:val="center"/>
            <w:hideMark/>
          </w:tcPr>
          <w:p w14:paraId="07AD9532" w14:textId="77777777" w:rsidR="00EB3855" w:rsidRPr="003576CC" w:rsidRDefault="00EB3855" w:rsidP="004F00FE">
            <w:pPr>
              <w:spacing w:after="0" w:line="240" w:lineRule="auto"/>
              <w:jc w:val="center"/>
              <w:rPr>
                <w:rFonts w:ascii="Gulliver" w:eastAsia="Times New Roman" w:hAnsi="Gulliver" w:cs="Calibri"/>
                <w:b/>
                <w:bCs/>
                <w:color w:val="000000"/>
                <w:sz w:val="20"/>
                <w:szCs w:val="20"/>
                <w:lang w:eastAsia="en-ID"/>
              </w:rPr>
            </w:pPr>
            <w:r w:rsidRPr="003576CC">
              <w:rPr>
                <w:rFonts w:ascii="Gulliver" w:eastAsia="Times New Roman" w:hAnsi="Gulliver" w:cs="Calibri"/>
                <w:b/>
                <w:bCs/>
                <w:color w:val="000000"/>
                <w:sz w:val="20"/>
                <w:szCs w:val="20"/>
                <w:lang w:eastAsia="en-ID"/>
              </w:rPr>
              <w:t>Interpretation</w:t>
            </w:r>
          </w:p>
        </w:tc>
      </w:tr>
      <w:tr w:rsidR="00EB3855" w:rsidRPr="003576CC" w14:paraId="2036685D" w14:textId="77777777" w:rsidTr="004F00FE">
        <w:trPr>
          <w:trHeight w:val="300"/>
        </w:trPr>
        <w:tc>
          <w:tcPr>
            <w:tcW w:w="5180" w:type="dxa"/>
            <w:tcBorders>
              <w:top w:val="nil"/>
              <w:left w:val="nil"/>
              <w:bottom w:val="nil"/>
              <w:right w:val="nil"/>
            </w:tcBorders>
            <w:shd w:val="clear" w:color="auto" w:fill="auto"/>
            <w:vAlign w:val="center"/>
            <w:hideMark/>
          </w:tcPr>
          <w:p w14:paraId="47AACAAB" w14:textId="77777777" w:rsidR="00EB3855" w:rsidRPr="003576CC" w:rsidRDefault="00EB3855" w:rsidP="004F00FE">
            <w:pPr>
              <w:spacing w:after="0" w:line="240" w:lineRule="auto"/>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Prediction Accuracy</w:t>
            </w:r>
          </w:p>
        </w:tc>
        <w:tc>
          <w:tcPr>
            <w:tcW w:w="2260" w:type="dxa"/>
            <w:tcBorders>
              <w:top w:val="nil"/>
              <w:left w:val="nil"/>
              <w:bottom w:val="nil"/>
              <w:right w:val="nil"/>
            </w:tcBorders>
            <w:shd w:val="clear" w:color="auto" w:fill="auto"/>
            <w:vAlign w:val="center"/>
            <w:hideMark/>
          </w:tcPr>
          <w:p w14:paraId="7E2DD2D1"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0.64</w:t>
            </w:r>
          </w:p>
        </w:tc>
        <w:tc>
          <w:tcPr>
            <w:tcW w:w="2766" w:type="dxa"/>
            <w:tcBorders>
              <w:top w:val="nil"/>
              <w:left w:val="nil"/>
              <w:bottom w:val="nil"/>
              <w:right w:val="nil"/>
            </w:tcBorders>
            <w:shd w:val="clear" w:color="auto" w:fill="auto"/>
            <w:vAlign w:val="center"/>
            <w:hideMark/>
          </w:tcPr>
          <w:p w14:paraId="3EFD8DD1"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Substantial</w:t>
            </w:r>
          </w:p>
        </w:tc>
      </w:tr>
      <w:tr w:rsidR="00EB3855" w:rsidRPr="003576CC" w14:paraId="67EFD06C" w14:textId="77777777" w:rsidTr="004F00FE">
        <w:trPr>
          <w:trHeight w:val="300"/>
        </w:trPr>
        <w:tc>
          <w:tcPr>
            <w:tcW w:w="5180" w:type="dxa"/>
            <w:tcBorders>
              <w:top w:val="nil"/>
              <w:left w:val="nil"/>
              <w:bottom w:val="nil"/>
              <w:right w:val="nil"/>
            </w:tcBorders>
            <w:shd w:val="clear" w:color="auto" w:fill="auto"/>
            <w:vAlign w:val="center"/>
            <w:hideMark/>
          </w:tcPr>
          <w:p w14:paraId="624E7EAA" w14:textId="77777777" w:rsidR="00EB3855" w:rsidRPr="003576CC" w:rsidRDefault="00EB3855" w:rsidP="004F00FE">
            <w:pPr>
              <w:spacing w:after="0" w:line="240" w:lineRule="auto"/>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Insights from Data</w:t>
            </w:r>
          </w:p>
        </w:tc>
        <w:tc>
          <w:tcPr>
            <w:tcW w:w="2260" w:type="dxa"/>
            <w:tcBorders>
              <w:top w:val="nil"/>
              <w:left w:val="nil"/>
              <w:bottom w:val="nil"/>
              <w:right w:val="nil"/>
            </w:tcBorders>
            <w:shd w:val="clear" w:color="auto" w:fill="auto"/>
            <w:vAlign w:val="center"/>
            <w:hideMark/>
          </w:tcPr>
          <w:p w14:paraId="785E3983"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0.59</w:t>
            </w:r>
          </w:p>
        </w:tc>
        <w:tc>
          <w:tcPr>
            <w:tcW w:w="2766" w:type="dxa"/>
            <w:tcBorders>
              <w:top w:val="nil"/>
              <w:left w:val="nil"/>
              <w:bottom w:val="nil"/>
              <w:right w:val="nil"/>
            </w:tcBorders>
            <w:shd w:val="clear" w:color="auto" w:fill="auto"/>
            <w:vAlign w:val="center"/>
            <w:hideMark/>
          </w:tcPr>
          <w:p w14:paraId="51D15D29"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Moderate</w:t>
            </w:r>
          </w:p>
        </w:tc>
      </w:tr>
      <w:tr w:rsidR="00EB3855" w:rsidRPr="003576CC" w14:paraId="6AD779DB" w14:textId="77777777" w:rsidTr="004F00FE">
        <w:trPr>
          <w:trHeight w:val="300"/>
        </w:trPr>
        <w:tc>
          <w:tcPr>
            <w:tcW w:w="5180" w:type="dxa"/>
            <w:tcBorders>
              <w:top w:val="nil"/>
              <w:left w:val="nil"/>
              <w:bottom w:val="nil"/>
              <w:right w:val="nil"/>
            </w:tcBorders>
            <w:shd w:val="clear" w:color="auto" w:fill="auto"/>
            <w:vAlign w:val="center"/>
            <w:hideMark/>
          </w:tcPr>
          <w:p w14:paraId="761BB9F7" w14:textId="77777777" w:rsidR="00EB3855" w:rsidRPr="003576CC" w:rsidRDefault="00EB3855" w:rsidP="004F00FE">
            <w:pPr>
              <w:spacing w:after="0" w:line="240" w:lineRule="auto"/>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Transparent Analysis</w:t>
            </w:r>
          </w:p>
        </w:tc>
        <w:tc>
          <w:tcPr>
            <w:tcW w:w="2260" w:type="dxa"/>
            <w:tcBorders>
              <w:top w:val="nil"/>
              <w:left w:val="nil"/>
              <w:bottom w:val="nil"/>
              <w:right w:val="nil"/>
            </w:tcBorders>
            <w:shd w:val="clear" w:color="auto" w:fill="auto"/>
            <w:vAlign w:val="center"/>
            <w:hideMark/>
          </w:tcPr>
          <w:p w14:paraId="20BA26CD"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0.57</w:t>
            </w:r>
          </w:p>
        </w:tc>
        <w:tc>
          <w:tcPr>
            <w:tcW w:w="2766" w:type="dxa"/>
            <w:tcBorders>
              <w:top w:val="nil"/>
              <w:left w:val="nil"/>
              <w:bottom w:val="nil"/>
              <w:right w:val="nil"/>
            </w:tcBorders>
            <w:shd w:val="clear" w:color="auto" w:fill="auto"/>
            <w:vAlign w:val="center"/>
            <w:hideMark/>
          </w:tcPr>
          <w:p w14:paraId="206F59DF"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Moderate</w:t>
            </w:r>
          </w:p>
        </w:tc>
      </w:tr>
      <w:tr w:rsidR="00EB3855" w:rsidRPr="003576CC" w14:paraId="117ECF02" w14:textId="77777777" w:rsidTr="004F00FE">
        <w:trPr>
          <w:trHeight w:val="300"/>
        </w:trPr>
        <w:tc>
          <w:tcPr>
            <w:tcW w:w="5180" w:type="dxa"/>
            <w:tcBorders>
              <w:top w:val="nil"/>
              <w:left w:val="nil"/>
              <w:bottom w:val="nil"/>
              <w:right w:val="nil"/>
            </w:tcBorders>
            <w:shd w:val="clear" w:color="auto" w:fill="auto"/>
            <w:vAlign w:val="center"/>
            <w:hideMark/>
          </w:tcPr>
          <w:p w14:paraId="676AA916" w14:textId="77777777" w:rsidR="00EB3855" w:rsidRPr="003576CC" w:rsidRDefault="00EB3855" w:rsidP="004F00FE">
            <w:pPr>
              <w:spacing w:after="0" w:line="240" w:lineRule="auto"/>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Human-AI Integration</w:t>
            </w:r>
          </w:p>
        </w:tc>
        <w:tc>
          <w:tcPr>
            <w:tcW w:w="2260" w:type="dxa"/>
            <w:tcBorders>
              <w:top w:val="nil"/>
              <w:left w:val="nil"/>
              <w:bottom w:val="nil"/>
              <w:right w:val="nil"/>
            </w:tcBorders>
            <w:shd w:val="clear" w:color="auto" w:fill="auto"/>
            <w:vAlign w:val="center"/>
            <w:hideMark/>
          </w:tcPr>
          <w:p w14:paraId="01E5ABCE"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0.53</w:t>
            </w:r>
          </w:p>
        </w:tc>
        <w:tc>
          <w:tcPr>
            <w:tcW w:w="2766" w:type="dxa"/>
            <w:tcBorders>
              <w:top w:val="nil"/>
              <w:left w:val="nil"/>
              <w:bottom w:val="nil"/>
              <w:right w:val="nil"/>
            </w:tcBorders>
            <w:shd w:val="clear" w:color="auto" w:fill="auto"/>
            <w:vAlign w:val="center"/>
            <w:hideMark/>
          </w:tcPr>
          <w:p w14:paraId="62FCA625"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Moderate</w:t>
            </w:r>
          </w:p>
        </w:tc>
      </w:tr>
      <w:tr w:rsidR="00EB3855" w:rsidRPr="003576CC" w14:paraId="38E21942" w14:textId="77777777" w:rsidTr="004F00FE">
        <w:trPr>
          <w:trHeight w:val="300"/>
        </w:trPr>
        <w:tc>
          <w:tcPr>
            <w:tcW w:w="5180" w:type="dxa"/>
            <w:tcBorders>
              <w:top w:val="nil"/>
              <w:left w:val="nil"/>
              <w:bottom w:val="single" w:sz="4" w:space="0" w:color="auto"/>
              <w:right w:val="nil"/>
            </w:tcBorders>
            <w:shd w:val="clear" w:color="auto" w:fill="auto"/>
            <w:vAlign w:val="center"/>
            <w:hideMark/>
          </w:tcPr>
          <w:p w14:paraId="48D849FB" w14:textId="77777777" w:rsidR="00EB3855" w:rsidRPr="003576CC" w:rsidRDefault="00EB3855" w:rsidP="004F00FE">
            <w:pPr>
              <w:spacing w:after="0" w:line="240" w:lineRule="auto"/>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Customer Journey Mapping</w:t>
            </w:r>
          </w:p>
        </w:tc>
        <w:tc>
          <w:tcPr>
            <w:tcW w:w="2260" w:type="dxa"/>
            <w:tcBorders>
              <w:top w:val="nil"/>
              <w:left w:val="nil"/>
              <w:bottom w:val="single" w:sz="4" w:space="0" w:color="auto"/>
              <w:right w:val="nil"/>
            </w:tcBorders>
            <w:shd w:val="clear" w:color="auto" w:fill="auto"/>
            <w:vAlign w:val="center"/>
            <w:hideMark/>
          </w:tcPr>
          <w:p w14:paraId="2C9AFC40"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0.69</w:t>
            </w:r>
          </w:p>
        </w:tc>
        <w:tc>
          <w:tcPr>
            <w:tcW w:w="2766" w:type="dxa"/>
            <w:tcBorders>
              <w:top w:val="nil"/>
              <w:left w:val="nil"/>
              <w:bottom w:val="single" w:sz="4" w:space="0" w:color="auto"/>
              <w:right w:val="nil"/>
            </w:tcBorders>
            <w:shd w:val="clear" w:color="auto" w:fill="auto"/>
            <w:vAlign w:val="center"/>
            <w:hideMark/>
          </w:tcPr>
          <w:p w14:paraId="50CBE376" w14:textId="77777777" w:rsidR="00EB3855" w:rsidRPr="003576CC" w:rsidRDefault="00EB3855" w:rsidP="004F00FE">
            <w:pPr>
              <w:spacing w:after="0" w:line="240" w:lineRule="auto"/>
              <w:jc w:val="center"/>
              <w:rPr>
                <w:rFonts w:ascii="Gulliver" w:eastAsia="Times New Roman" w:hAnsi="Gulliver" w:cs="Calibri"/>
                <w:color w:val="000000"/>
                <w:sz w:val="20"/>
                <w:szCs w:val="20"/>
                <w:lang w:eastAsia="en-ID"/>
              </w:rPr>
            </w:pPr>
            <w:r w:rsidRPr="003576CC">
              <w:rPr>
                <w:rFonts w:ascii="Gulliver" w:eastAsia="Times New Roman" w:hAnsi="Gulliver" w:cs="Calibri"/>
                <w:color w:val="000000"/>
                <w:sz w:val="20"/>
                <w:szCs w:val="20"/>
                <w:lang w:eastAsia="en-ID"/>
              </w:rPr>
              <w:t>Substantial</w:t>
            </w:r>
          </w:p>
        </w:tc>
      </w:tr>
    </w:tbl>
    <w:p w14:paraId="52ED6C00" w14:textId="54EFC853" w:rsidR="00EB3855" w:rsidRDefault="00EB3855" w:rsidP="00EB3855">
      <w:pPr>
        <w:spacing w:before="120" w:after="120" w:line="271" w:lineRule="auto"/>
        <w:jc w:val="both"/>
        <w:rPr>
          <w:rFonts w:ascii="Gulliver" w:hAnsi="Gulliver"/>
          <w:sz w:val="20"/>
          <w:szCs w:val="20"/>
        </w:rPr>
      </w:pPr>
      <w:r w:rsidRPr="00C27454">
        <w:rPr>
          <w:rFonts w:ascii="Gulliver" w:hAnsi="Gulliver"/>
          <w:i/>
          <w:iCs/>
          <w:sz w:val="16"/>
          <w:szCs w:val="16"/>
        </w:rPr>
        <w:t>Source data; processed by the author in observation 2024</w:t>
      </w:r>
    </w:p>
    <w:p w14:paraId="542D3CFF" w14:textId="77777777" w:rsidR="00EB3855" w:rsidRDefault="00EB3855" w:rsidP="00EB3855">
      <w:pPr>
        <w:spacing w:before="120" w:after="120" w:line="271" w:lineRule="auto"/>
        <w:jc w:val="both"/>
        <w:rPr>
          <w:rFonts w:ascii="Gulliver" w:hAnsi="Gulliver"/>
          <w:sz w:val="20"/>
          <w:szCs w:val="20"/>
        </w:rPr>
      </w:pPr>
    </w:p>
    <w:p w14:paraId="606D60E2" w14:textId="3A0625FB" w:rsidR="00BC1C62" w:rsidRPr="00F3125F" w:rsidRDefault="00BC1C62" w:rsidP="00BC1C62">
      <w:pPr>
        <w:jc w:val="both"/>
        <w:rPr>
          <w:rFonts w:ascii="Gulliver" w:hAnsi="Gulliver"/>
          <w:b/>
          <w:bCs/>
        </w:rPr>
      </w:pPr>
      <w:r w:rsidRPr="00F3125F">
        <w:rPr>
          <w:rFonts w:ascii="Gulliver" w:hAnsi="Gulliver"/>
          <w:b/>
          <w:bCs/>
        </w:rPr>
        <w:t>References</w:t>
      </w:r>
    </w:p>
    <w:p w14:paraId="386B8688" w14:textId="4BE215D4" w:rsidR="00AA0346" w:rsidRPr="00AA0346" w:rsidRDefault="00304A77"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Pr>
          <w:rFonts w:ascii="Gulliver" w:hAnsi="Gulliver"/>
          <w:sz w:val="20"/>
          <w:szCs w:val="20"/>
        </w:rPr>
        <w:fldChar w:fldCharType="begin" w:fldLock="1"/>
      </w:r>
      <w:r>
        <w:rPr>
          <w:rFonts w:ascii="Gulliver" w:hAnsi="Gulliver"/>
          <w:sz w:val="20"/>
          <w:szCs w:val="20"/>
        </w:rPr>
        <w:instrText xml:space="preserve">ADDIN Mendeley Bibliography CSL_BIBLIOGRAPHY </w:instrText>
      </w:r>
      <w:r>
        <w:rPr>
          <w:rFonts w:ascii="Gulliver" w:hAnsi="Gulliver"/>
          <w:sz w:val="20"/>
          <w:szCs w:val="20"/>
        </w:rPr>
        <w:fldChar w:fldCharType="separate"/>
      </w:r>
      <w:r w:rsidR="00AA0346" w:rsidRPr="00AA0346">
        <w:rPr>
          <w:rFonts w:ascii="Gulliver" w:hAnsi="Gulliver" w:cs="Times New Roman"/>
          <w:noProof/>
          <w:sz w:val="20"/>
          <w:szCs w:val="24"/>
        </w:rPr>
        <w:t xml:space="preserve">Akanfe, O., Lawong, D., &amp; Rao, H. R. (2024). Blockchain technology and privacy regulation: Reviewing frictions and synthesizing opportunities. </w:t>
      </w:r>
      <w:r w:rsidR="00AA0346" w:rsidRPr="00AA0346">
        <w:rPr>
          <w:rFonts w:ascii="Gulliver" w:hAnsi="Gulliver" w:cs="Times New Roman"/>
          <w:i/>
          <w:iCs/>
          <w:noProof/>
          <w:sz w:val="20"/>
          <w:szCs w:val="24"/>
        </w:rPr>
        <w:t>International Journal of Information Management</w:t>
      </w:r>
      <w:r w:rsidR="00AA0346" w:rsidRPr="00AA0346">
        <w:rPr>
          <w:rFonts w:ascii="Gulliver" w:hAnsi="Gulliver" w:cs="Times New Roman"/>
          <w:noProof/>
          <w:sz w:val="20"/>
          <w:szCs w:val="24"/>
        </w:rPr>
        <w:t xml:space="preserve">, </w:t>
      </w:r>
      <w:r w:rsidR="00AA0346" w:rsidRPr="00AA0346">
        <w:rPr>
          <w:rFonts w:ascii="Gulliver" w:hAnsi="Gulliver" w:cs="Times New Roman"/>
          <w:i/>
          <w:iCs/>
          <w:noProof/>
          <w:sz w:val="20"/>
          <w:szCs w:val="24"/>
        </w:rPr>
        <w:t>76</w:t>
      </w:r>
      <w:r w:rsidR="00AA0346" w:rsidRPr="00AA0346">
        <w:rPr>
          <w:rFonts w:ascii="Gulliver" w:hAnsi="Gulliver" w:cs="Times New Roman"/>
          <w:noProof/>
          <w:sz w:val="20"/>
          <w:szCs w:val="24"/>
        </w:rPr>
        <w:t>, 102753. https://doi.org/https://doi.org/10.1016/j.ijinfomgt.2024.102753</w:t>
      </w:r>
    </w:p>
    <w:p w14:paraId="1014E727"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Akter, S., McCarthy, G., Sajib, S., Michael, K., Dwivedi, Y. K., D’Ambra, J., &amp; Shen, K. N. (2021). Algorithmic bias in data-driven innovation in the age of AI. </w:t>
      </w:r>
      <w:r w:rsidRPr="00AA0346">
        <w:rPr>
          <w:rFonts w:ascii="Gulliver" w:hAnsi="Gulliver" w:cs="Times New Roman"/>
          <w:i/>
          <w:iCs/>
          <w:noProof/>
          <w:sz w:val="20"/>
          <w:szCs w:val="24"/>
        </w:rPr>
        <w:t>International Journal of Information Management</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60</w:t>
      </w:r>
      <w:r w:rsidRPr="00AA0346">
        <w:rPr>
          <w:rFonts w:ascii="Gulliver" w:hAnsi="Gulliver" w:cs="Times New Roman"/>
          <w:noProof/>
          <w:sz w:val="20"/>
          <w:szCs w:val="24"/>
        </w:rPr>
        <w:t>, 102387. https://doi.org/https://doi.org/10.1016/j.ijinfomgt.2021.102387</w:t>
      </w:r>
    </w:p>
    <w:p w14:paraId="0CF46B2F"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Albahri, A. S., Duhaim, A. M., Fadhel, M. A., Alnoor, A., Baqer, N. S., Alzubaidi, L., Albahri, O. S., Alamoodi, A. H., Bai, J., Salhi, A., Santamaría, J., Ouyang, C., Gupta, A., Gu, Y., &amp; Deveci, M. (2023). A systematic review of trustworthy and explainable artificial intelligence in healthcare: Assessment of quality, bias risk, and data fusion. </w:t>
      </w:r>
      <w:r w:rsidRPr="00AA0346">
        <w:rPr>
          <w:rFonts w:ascii="Gulliver" w:hAnsi="Gulliver" w:cs="Times New Roman"/>
          <w:i/>
          <w:iCs/>
          <w:noProof/>
          <w:sz w:val="20"/>
          <w:szCs w:val="24"/>
        </w:rPr>
        <w:t>Information Fusion</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96</w:t>
      </w:r>
      <w:r w:rsidRPr="00AA0346">
        <w:rPr>
          <w:rFonts w:ascii="Gulliver" w:hAnsi="Gulliver" w:cs="Times New Roman"/>
          <w:noProof/>
          <w:sz w:val="20"/>
          <w:szCs w:val="24"/>
        </w:rPr>
        <w:t>, 156–191. https://doi.org/https://doi.org/10.1016/j.inffus.2023.03.008</w:t>
      </w:r>
    </w:p>
    <w:p w14:paraId="17C09D67" w14:textId="66A0C863"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Amasyali, K., &amp; El-Gohary, N. (2021). Machine learning for occupant-</w:t>
      </w:r>
      <w:r>
        <w:rPr>
          <w:rFonts w:ascii="Gulliver" w:hAnsi="Gulliver" w:cs="Times New Roman"/>
          <w:noProof/>
          <w:sz w:val="20"/>
          <w:szCs w:val="24"/>
        </w:rPr>
        <w:t>behaviour</w:t>
      </w:r>
      <w:r w:rsidRPr="00AA0346">
        <w:rPr>
          <w:rFonts w:ascii="Gulliver" w:hAnsi="Gulliver" w:cs="Times New Roman"/>
          <w:noProof/>
          <w:sz w:val="20"/>
          <w:szCs w:val="24"/>
        </w:rPr>
        <w:t xml:space="preserve">-sensitive cooling energy consumption prediction in office buildings. </w:t>
      </w:r>
      <w:r w:rsidRPr="00AA0346">
        <w:rPr>
          <w:rFonts w:ascii="Gulliver" w:hAnsi="Gulliver" w:cs="Times New Roman"/>
          <w:i/>
          <w:iCs/>
          <w:noProof/>
          <w:sz w:val="20"/>
          <w:szCs w:val="24"/>
        </w:rPr>
        <w:t>Renewable and Sustainable Energy Reviews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142</w:t>
      </w:r>
      <w:r w:rsidRPr="00AA0346">
        <w:rPr>
          <w:rFonts w:ascii="Gulliver" w:hAnsi="Gulliver" w:cs="Times New Roman"/>
          <w:noProof/>
          <w:sz w:val="20"/>
          <w:szCs w:val="24"/>
        </w:rPr>
        <w:t>, 110714. https://doi.org/https://doi.org/10.1016/j.rser.2021.110714</w:t>
      </w:r>
    </w:p>
    <w:p w14:paraId="53633C27"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Bilal, M., Oyedele, L. O., Qadir, J., Munir, K., Ajayi, S. O., Akinade, O. O., Owolabi, H. A., Alaka, H. A., &amp; Pasha, M. (2016). Big Data in the construction industry: A review of present status, opportunities, and future trends. </w:t>
      </w:r>
      <w:r w:rsidRPr="00AA0346">
        <w:rPr>
          <w:rFonts w:ascii="Gulliver" w:hAnsi="Gulliver" w:cs="Times New Roman"/>
          <w:i/>
          <w:iCs/>
          <w:noProof/>
          <w:sz w:val="20"/>
          <w:szCs w:val="24"/>
        </w:rPr>
        <w:t>Advanced Engineering Informatics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30</w:t>
      </w:r>
      <w:r w:rsidRPr="00AA0346">
        <w:rPr>
          <w:rFonts w:ascii="Gulliver" w:hAnsi="Gulliver" w:cs="Times New Roman"/>
          <w:noProof/>
          <w:sz w:val="20"/>
          <w:szCs w:val="24"/>
        </w:rPr>
        <w:t>(3), 500–521. https://doi.org/https://doi.org/10.1016/j.aei.2016.07.001</w:t>
      </w:r>
    </w:p>
    <w:p w14:paraId="210785CD"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Bilal, M., Zhang, Y., Cai, S., Akram, U., &amp; Halibas, A. (2024). Artificial intelligence is the magic wand making customer-centric a reality! An investigation into the relationship between consumer purchase intention and consumer engagement through affective attachment. </w:t>
      </w:r>
      <w:r w:rsidRPr="00AA0346">
        <w:rPr>
          <w:rFonts w:ascii="Gulliver" w:hAnsi="Gulliver" w:cs="Times New Roman"/>
          <w:i/>
          <w:iCs/>
          <w:noProof/>
          <w:sz w:val="20"/>
          <w:szCs w:val="24"/>
        </w:rPr>
        <w:t>Journal of Retailing and Consumer Services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77</w:t>
      </w:r>
      <w:r w:rsidRPr="00AA0346">
        <w:rPr>
          <w:rFonts w:ascii="Gulliver" w:hAnsi="Gulliver" w:cs="Times New Roman"/>
          <w:noProof/>
          <w:sz w:val="20"/>
          <w:szCs w:val="24"/>
        </w:rPr>
        <w:t>, 103674. https://doi.org/https://doi.org/10.1016/j.jretconser.2023.103674</w:t>
      </w:r>
    </w:p>
    <w:p w14:paraId="38A4D6F3"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Birjali, M., Kasri, M., &amp; Beni-Hssane, A. (2021). A comprehensive survey on sentiment analysis: Approaches, challenges and trends. </w:t>
      </w:r>
      <w:r w:rsidRPr="00AA0346">
        <w:rPr>
          <w:rFonts w:ascii="Gulliver" w:hAnsi="Gulliver" w:cs="Times New Roman"/>
          <w:i/>
          <w:iCs/>
          <w:noProof/>
          <w:sz w:val="20"/>
          <w:szCs w:val="24"/>
        </w:rPr>
        <w:t>Knowledge-Based Systems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226</w:t>
      </w:r>
      <w:r w:rsidRPr="00AA0346">
        <w:rPr>
          <w:rFonts w:ascii="Gulliver" w:hAnsi="Gulliver" w:cs="Times New Roman"/>
          <w:noProof/>
          <w:sz w:val="20"/>
          <w:szCs w:val="24"/>
        </w:rPr>
        <w:t>, 107134. https://doi.org/https://doi.org/10.1016/j.knosys.2021.107134</w:t>
      </w:r>
    </w:p>
    <w:p w14:paraId="26D6FB13" w14:textId="108F2635"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Bujold, A., Parent-Rocheleau, X., &amp; Gaudet, M.-C. (2022). Opacity behind the wheel: The relationship between transparency of algorithmic management, justice perception, and intention to quit among truck drivers. </w:t>
      </w:r>
      <w:r w:rsidRPr="00AA0346">
        <w:rPr>
          <w:rFonts w:ascii="Gulliver" w:hAnsi="Gulliver" w:cs="Times New Roman"/>
          <w:i/>
          <w:iCs/>
          <w:noProof/>
          <w:sz w:val="20"/>
          <w:szCs w:val="24"/>
        </w:rPr>
        <w:t xml:space="preserve">Computers in Human </w:t>
      </w:r>
      <w:r>
        <w:rPr>
          <w:rFonts w:ascii="Gulliver" w:hAnsi="Gulliver" w:cs="Times New Roman"/>
          <w:i/>
          <w:iCs/>
          <w:noProof/>
          <w:sz w:val="20"/>
          <w:szCs w:val="24"/>
        </w:rPr>
        <w:t>Behaviour</w:t>
      </w:r>
      <w:r w:rsidRPr="00AA0346">
        <w:rPr>
          <w:rFonts w:ascii="Gulliver" w:hAnsi="Gulliver" w:cs="Times New Roman"/>
          <w:i/>
          <w:iCs/>
          <w:noProof/>
          <w:sz w:val="20"/>
          <w:szCs w:val="24"/>
        </w:rPr>
        <w:t xml:space="preserve"> Reports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8</w:t>
      </w:r>
      <w:r w:rsidRPr="00AA0346">
        <w:rPr>
          <w:rFonts w:ascii="Gulliver" w:hAnsi="Gulliver" w:cs="Times New Roman"/>
          <w:noProof/>
          <w:sz w:val="20"/>
          <w:szCs w:val="24"/>
        </w:rPr>
        <w:t>, 100245. https://doi.org/https://doi.org/10.1016/j.chbr.2022.100245</w:t>
      </w:r>
    </w:p>
    <w:p w14:paraId="206AD6BB"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Choi, J.-A., &amp; Lim, K. (2020). Identifying machine learning techniques for classification of target advertising. </w:t>
      </w:r>
      <w:r w:rsidRPr="00AA0346">
        <w:rPr>
          <w:rFonts w:ascii="Gulliver" w:hAnsi="Gulliver" w:cs="Times New Roman"/>
          <w:i/>
          <w:iCs/>
          <w:noProof/>
          <w:sz w:val="20"/>
          <w:szCs w:val="24"/>
        </w:rPr>
        <w:t>ICT Express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6</w:t>
      </w:r>
      <w:r w:rsidRPr="00AA0346">
        <w:rPr>
          <w:rFonts w:ascii="Gulliver" w:hAnsi="Gulliver" w:cs="Times New Roman"/>
          <w:noProof/>
          <w:sz w:val="20"/>
          <w:szCs w:val="24"/>
        </w:rPr>
        <w:t>(3), 175–180. https://doi.org/https://doi.org/10.1016/j.icte.2020.04.012</w:t>
      </w:r>
    </w:p>
    <w:p w14:paraId="3DBC7AB5"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Chuah, S. H.-W., &amp; Yu, J. (2021). The future of service: The power of emotion in human-robot interaction. </w:t>
      </w:r>
      <w:r w:rsidRPr="00AA0346">
        <w:rPr>
          <w:rFonts w:ascii="Gulliver" w:hAnsi="Gulliver" w:cs="Times New Roman"/>
          <w:i/>
          <w:iCs/>
          <w:noProof/>
          <w:sz w:val="20"/>
          <w:szCs w:val="24"/>
        </w:rPr>
        <w:t>Journal of Retailing and Consumer Services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61</w:t>
      </w:r>
      <w:r w:rsidRPr="00AA0346">
        <w:rPr>
          <w:rFonts w:ascii="Gulliver" w:hAnsi="Gulliver" w:cs="Times New Roman"/>
          <w:noProof/>
          <w:sz w:val="20"/>
          <w:szCs w:val="24"/>
        </w:rPr>
        <w:t>, 102551. https://doi.org/https://doi.org/10.1016/j.jretconser.2021.102551</w:t>
      </w:r>
    </w:p>
    <w:p w14:paraId="02BC4321"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Diez-Olivan, A., Del Ser, J., Galar, D., &amp; Sierra, B. (2019). Data fusion and machine learning for industrial prognosis: Trends and perspectives towards Industry 4.0. </w:t>
      </w:r>
      <w:r w:rsidRPr="00AA0346">
        <w:rPr>
          <w:rFonts w:ascii="Gulliver" w:hAnsi="Gulliver" w:cs="Times New Roman"/>
          <w:i/>
          <w:iCs/>
          <w:noProof/>
          <w:sz w:val="20"/>
          <w:szCs w:val="24"/>
        </w:rPr>
        <w:t>Information Fusion</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50</w:t>
      </w:r>
      <w:r w:rsidRPr="00AA0346">
        <w:rPr>
          <w:rFonts w:ascii="Gulliver" w:hAnsi="Gulliver" w:cs="Times New Roman"/>
          <w:noProof/>
          <w:sz w:val="20"/>
          <w:szCs w:val="24"/>
        </w:rPr>
        <w:t>, 92–111. https://doi.org/https://doi.org/10.1016/j.inffus.2018.10.005</w:t>
      </w:r>
    </w:p>
    <w:p w14:paraId="0B680682"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Do, H. H., Prasad, P. W. C., Maag, A., &amp; Alsadoon, A. (2019). Deep Learning for Aspect-Based Sentiment Analysis: A Comparative Review. </w:t>
      </w:r>
      <w:r w:rsidRPr="00AA0346">
        <w:rPr>
          <w:rFonts w:ascii="Gulliver" w:hAnsi="Gulliver" w:cs="Times New Roman"/>
          <w:i/>
          <w:iCs/>
          <w:noProof/>
          <w:sz w:val="20"/>
          <w:szCs w:val="24"/>
        </w:rPr>
        <w:t>Expert Systems with Applications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118</w:t>
      </w:r>
      <w:r w:rsidRPr="00AA0346">
        <w:rPr>
          <w:rFonts w:ascii="Gulliver" w:hAnsi="Gulliver" w:cs="Times New Roman"/>
          <w:noProof/>
          <w:sz w:val="20"/>
          <w:szCs w:val="24"/>
        </w:rPr>
        <w:t>, 272–299. https://doi.org/https://doi.org/10.1016/j.eswa.2018.10.003</w:t>
      </w:r>
    </w:p>
    <w:p w14:paraId="30CE6194"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lastRenderedPageBreak/>
        <w:t xml:space="preserve">Dongbo, M., Miniaoui, S., Fen, L., Althubiti, S. A., &amp; Alsenani, T. R. (2023). Intelligent chatbot interaction system capable for sentimental analysis using hybrid machine learning algorithms. </w:t>
      </w:r>
      <w:r w:rsidRPr="00AA0346">
        <w:rPr>
          <w:rFonts w:ascii="Gulliver" w:hAnsi="Gulliver" w:cs="Times New Roman"/>
          <w:i/>
          <w:iCs/>
          <w:noProof/>
          <w:sz w:val="20"/>
          <w:szCs w:val="24"/>
        </w:rPr>
        <w:t>Information Processing &amp; Management</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60</w:t>
      </w:r>
      <w:r w:rsidRPr="00AA0346">
        <w:rPr>
          <w:rFonts w:ascii="Gulliver" w:hAnsi="Gulliver" w:cs="Times New Roman"/>
          <w:noProof/>
          <w:sz w:val="20"/>
          <w:szCs w:val="24"/>
        </w:rPr>
        <w:t>(5), 103440. https://doi.org/https://doi.org/10.1016/j.ipm.2023.103440</w:t>
      </w:r>
    </w:p>
    <w:p w14:paraId="788225A6"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Du, S., &amp; Xie, C. (2021). Paradoxes of artificial intelligence in consumer markets: Ethical challenges and opportunities. </w:t>
      </w:r>
      <w:r w:rsidRPr="00AA0346">
        <w:rPr>
          <w:rFonts w:ascii="Gulliver" w:hAnsi="Gulliver" w:cs="Times New Roman"/>
          <w:i/>
          <w:iCs/>
          <w:noProof/>
          <w:sz w:val="20"/>
          <w:szCs w:val="24"/>
        </w:rPr>
        <w:t>Journal of Business Research</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129</w:t>
      </w:r>
      <w:r w:rsidRPr="00AA0346">
        <w:rPr>
          <w:rFonts w:ascii="Gulliver" w:hAnsi="Gulliver" w:cs="Times New Roman"/>
          <w:noProof/>
          <w:sz w:val="20"/>
          <w:szCs w:val="24"/>
        </w:rPr>
        <w:t>, 961–974. https://doi.org/https://doi.org/10.1016/j.jbusres.2020.08.024</w:t>
      </w:r>
    </w:p>
    <w:p w14:paraId="33EB396B"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Gregoriades, A., Pampaka, M., Herodotou, H., &amp; Christodoulou, E. (2021). Supporting digital content marketing and messaging through topic modelling and decision trees. </w:t>
      </w:r>
      <w:r w:rsidRPr="00AA0346">
        <w:rPr>
          <w:rFonts w:ascii="Gulliver" w:hAnsi="Gulliver" w:cs="Times New Roman"/>
          <w:i/>
          <w:iCs/>
          <w:noProof/>
          <w:sz w:val="20"/>
          <w:szCs w:val="24"/>
        </w:rPr>
        <w:t>Expert Systems with Applications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184</w:t>
      </w:r>
      <w:r w:rsidRPr="00AA0346">
        <w:rPr>
          <w:rFonts w:ascii="Gulliver" w:hAnsi="Gulliver" w:cs="Times New Roman"/>
          <w:noProof/>
          <w:sz w:val="20"/>
          <w:szCs w:val="24"/>
        </w:rPr>
        <w:t>, 115546. https://doi.org/https://doi.org/10.1016/j.eswa.2021.115546</w:t>
      </w:r>
    </w:p>
    <w:p w14:paraId="62069383"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Habbal, A., Ali, M. K., &amp; Abuzaraida, M. A. (2024). Artificial Intelligence Trust, Risk and Security Management (AI TRiSM): Frameworks, applications, challenges and future research directions. </w:t>
      </w:r>
      <w:r w:rsidRPr="00AA0346">
        <w:rPr>
          <w:rFonts w:ascii="Gulliver" w:hAnsi="Gulliver" w:cs="Times New Roman"/>
          <w:i/>
          <w:iCs/>
          <w:noProof/>
          <w:sz w:val="20"/>
          <w:szCs w:val="24"/>
        </w:rPr>
        <w:t>Expert Systems with Applications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240</w:t>
      </w:r>
      <w:r w:rsidRPr="00AA0346">
        <w:rPr>
          <w:rFonts w:ascii="Gulliver" w:hAnsi="Gulliver" w:cs="Times New Roman"/>
          <w:noProof/>
          <w:sz w:val="20"/>
          <w:szCs w:val="24"/>
        </w:rPr>
        <w:t>, 122442. https://doi.org/https://doi.org/10.1016/j.eswa.2023.122442</w:t>
      </w:r>
    </w:p>
    <w:p w14:paraId="3155FA08"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Haleem, A., Javaid, M., Asim Qadri, M., Pratap Singh, R., &amp; Suman, R. (2022). Artificial intelligence (AI) applications for marketing: A literature-based study. </w:t>
      </w:r>
      <w:r w:rsidRPr="00AA0346">
        <w:rPr>
          <w:rFonts w:ascii="Gulliver" w:hAnsi="Gulliver" w:cs="Times New Roman"/>
          <w:i/>
          <w:iCs/>
          <w:noProof/>
          <w:sz w:val="20"/>
          <w:szCs w:val="24"/>
        </w:rPr>
        <w:t>International Journal of Intelligent Networks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3</w:t>
      </w:r>
      <w:r w:rsidRPr="00AA0346">
        <w:rPr>
          <w:rFonts w:ascii="Gulliver" w:hAnsi="Gulliver" w:cs="Times New Roman"/>
          <w:noProof/>
          <w:sz w:val="20"/>
          <w:szCs w:val="24"/>
        </w:rPr>
        <w:t>, 119–132. https://doi.org/https://doi.org/10.1016/j.ijin.2022.08.005</w:t>
      </w:r>
    </w:p>
    <w:p w14:paraId="4A65DEE5"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Holzinger, A., Keiblinger, K., Holub, P., Zatloukal, K., &amp; Müller, H. (2023). AI for life: Trends in artificial intelligence for biotechnology. </w:t>
      </w:r>
      <w:r w:rsidRPr="00AA0346">
        <w:rPr>
          <w:rFonts w:ascii="Gulliver" w:hAnsi="Gulliver" w:cs="Times New Roman"/>
          <w:i/>
          <w:iCs/>
          <w:noProof/>
          <w:sz w:val="20"/>
          <w:szCs w:val="24"/>
        </w:rPr>
        <w:t>New Biotechnology</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74</w:t>
      </w:r>
      <w:r w:rsidRPr="00AA0346">
        <w:rPr>
          <w:rFonts w:ascii="Gulliver" w:hAnsi="Gulliver" w:cs="Times New Roman"/>
          <w:noProof/>
          <w:sz w:val="20"/>
          <w:szCs w:val="24"/>
        </w:rPr>
        <w:t>, 16–24. https://doi.org/https://doi.org/10.1016/j.nbt.2023.02.001</w:t>
      </w:r>
    </w:p>
    <w:p w14:paraId="4124D6CD"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Ibrahim, N. F., &amp; Wang, X. (2019). A text analytics approach for online retailing service improvement: Evidence from Twitter. </w:t>
      </w:r>
      <w:r w:rsidRPr="00AA0346">
        <w:rPr>
          <w:rFonts w:ascii="Gulliver" w:hAnsi="Gulliver" w:cs="Times New Roman"/>
          <w:i/>
          <w:iCs/>
          <w:noProof/>
          <w:sz w:val="20"/>
          <w:szCs w:val="24"/>
        </w:rPr>
        <w:t>Decision Support Systems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121</w:t>
      </w:r>
      <w:r w:rsidRPr="00AA0346">
        <w:rPr>
          <w:rFonts w:ascii="Gulliver" w:hAnsi="Gulliver" w:cs="Times New Roman"/>
          <w:noProof/>
          <w:sz w:val="20"/>
          <w:szCs w:val="24"/>
        </w:rPr>
        <w:t>, 37–50. https://doi.org/https://doi.org/10.1016/j.dss.2019.03.002</w:t>
      </w:r>
    </w:p>
    <w:p w14:paraId="3D51479F"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Kapoor, N. R., Kumar, A., Kumar, A., Kumar, A., &amp; Arora, H. C. (2024). 1 - Artificial intelligence in civil engineering: An immersive view. In M. L. Nehdi, H. C. Arora, K. Kumar, R. Damaševičius, &amp; A. B. T.-A. I. A. for S. C. Kumar (Eds.), </w:t>
      </w:r>
      <w:r w:rsidRPr="00AA0346">
        <w:rPr>
          <w:rFonts w:ascii="Gulliver" w:hAnsi="Gulliver" w:cs="Times New Roman"/>
          <w:i/>
          <w:iCs/>
          <w:noProof/>
          <w:sz w:val="20"/>
          <w:szCs w:val="24"/>
        </w:rPr>
        <w:t>Woodhead Publishing Series in Civil and Structural Engineering</w:t>
      </w:r>
      <w:r w:rsidRPr="00AA0346">
        <w:rPr>
          <w:rFonts w:ascii="Gulliver" w:hAnsi="Gulliver" w:cs="Times New Roman"/>
          <w:noProof/>
          <w:sz w:val="20"/>
          <w:szCs w:val="24"/>
        </w:rPr>
        <w:t xml:space="preserve"> (pp. 1–74). Woodhead Publishing. https://doi.org/https://doi.org/10.1016/B978-0-443-13191-2.00009-2</w:t>
      </w:r>
    </w:p>
    <w:p w14:paraId="72356DBC"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Korfiatis, N., Stamolampros, P., Kourouthanassis, P., &amp; Sagiadinos, V. (2019). Measuring service quality from unstructured data: A topic modeling application on airline passengers’ online reviews. </w:t>
      </w:r>
      <w:r w:rsidRPr="00AA0346">
        <w:rPr>
          <w:rFonts w:ascii="Gulliver" w:hAnsi="Gulliver" w:cs="Times New Roman"/>
          <w:i/>
          <w:iCs/>
          <w:noProof/>
          <w:sz w:val="20"/>
          <w:szCs w:val="24"/>
        </w:rPr>
        <w:t>Expert Systems with Applications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116</w:t>
      </w:r>
      <w:r w:rsidRPr="00AA0346">
        <w:rPr>
          <w:rFonts w:ascii="Gulliver" w:hAnsi="Gulliver" w:cs="Times New Roman"/>
          <w:noProof/>
          <w:sz w:val="20"/>
          <w:szCs w:val="24"/>
        </w:rPr>
        <w:t>, 472–486. https://doi.org/https://doi.org/10.1016/j.eswa.2018.09.037</w:t>
      </w:r>
    </w:p>
    <w:p w14:paraId="06BFB060"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Leong, L.-Y., Hew, T.-S., Ooi, K.-B., &amp; Dwivedi, Y. K. (2020). Predicting trust in online advertising with an SEM-artificial neural network approach. </w:t>
      </w:r>
      <w:r w:rsidRPr="00AA0346">
        <w:rPr>
          <w:rFonts w:ascii="Gulliver" w:hAnsi="Gulliver" w:cs="Times New Roman"/>
          <w:i/>
          <w:iCs/>
          <w:noProof/>
          <w:sz w:val="20"/>
          <w:szCs w:val="24"/>
        </w:rPr>
        <w:t>Expert Systems with Applications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162</w:t>
      </w:r>
      <w:r w:rsidRPr="00AA0346">
        <w:rPr>
          <w:rFonts w:ascii="Gulliver" w:hAnsi="Gulliver" w:cs="Times New Roman"/>
          <w:noProof/>
          <w:sz w:val="20"/>
          <w:szCs w:val="24"/>
        </w:rPr>
        <w:t>, 113849. https://doi.org/https://doi.org/10.1016/j.eswa.2020.113849</w:t>
      </w:r>
    </w:p>
    <w:p w14:paraId="02DDF5B9"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Liang, Y., Li, S., Yan, C., Li, M., &amp; Jiang, C. (2021). Explaining the black-box model: A survey of local interpretation methods for deep neural networks. </w:t>
      </w:r>
      <w:r w:rsidRPr="00AA0346">
        <w:rPr>
          <w:rFonts w:ascii="Gulliver" w:hAnsi="Gulliver" w:cs="Times New Roman"/>
          <w:i/>
          <w:iCs/>
          <w:noProof/>
          <w:sz w:val="20"/>
          <w:szCs w:val="24"/>
        </w:rPr>
        <w:t>Neurocomputing</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419</w:t>
      </w:r>
      <w:r w:rsidRPr="00AA0346">
        <w:rPr>
          <w:rFonts w:ascii="Gulliver" w:hAnsi="Gulliver" w:cs="Times New Roman"/>
          <w:noProof/>
          <w:sz w:val="20"/>
          <w:szCs w:val="24"/>
        </w:rPr>
        <w:t>, 168–182. https://doi.org/https://doi.org/10.1016/j.neucom.2020.08.011</w:t>
      </w:r>
    </w:p>
    <w:p w14:paraId="18285915"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Liu, X., Fan, K., Huang, X., Ge, J., Liu, Y., &amp; Kang, H. (2024). Recent advances in artificial intelligence boosting materials design for electrochemical energy storage. </w:t>
      </w:r>
      <w:r w:rsidRPr="00AA0346">
        <w:rPr>
          <w:rFonts w:ascii="Gulliver" w:hAnsi="Gulliver" w:cs="Times New Roman"/>
          <w:i/>
          <w:iCs/>
          <w:noProof/>
          <w:sz w:val="20"/>
          <w:szCs w:val="24"/>
        </w:rPr>
        <w:t>Chemical Engineering Journal</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490</w:t>
      </w:r>
      <w:r w:rsidRPr="00AA0346">
        <w:rPr>
          <w:rFonts w:ascii="Gulliver" w:hAnsi="Gulliver" w:cs="Times New Roman"/>
          <w:noProof/>
          <w:sz w:val="20"/>
          <w:szCs w:val="24"/>
        </w:rPr>
        <w:t>, 151625. https://doi.org/https://doi.org/10.1016/j.cej.2024.151625</w:t>
      </w:r>
    </w:p>
    <w:p w14:paraId="5EEE27D0"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Lu, R., Hong, S. H., &amp; Zhang, X. (2018). A Dynamic pricing demand response algorithm for smart grid: Reinforcement learning approach. </w:t>
      </w:r>
      <w:r w:rsidRPr="00AA0346">
        <w:rPr>
          <w:rFonts w:ascii="Gulliver" w:hAnsi="Gulliver" w:cs="Times New Roman"/>
          <w:i/>
          <w:iCs/>
          <w:noProof/>
          <w:sz w:val="20"/>
          <w:szCs w:val="24"/>
        </w:rPr>
        <w:t>Applied Energy</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220</w:t>
      </w:r>
      <w:r w:rsidRPr="00AA0346">
        <w:rPr>
          <w:rFonts w:ascii="Gulliver" w:hAnsi="Gulliver" w:cs="Times New Roman"/>
          <w:noProof/>
          <w:sz w:val="20"/>
          <w:szCs w:val="24"/>
        </w:rPr>
        <w:t>, 220–230. https://doi.org/https://doi.org/10.1016/j.apenergy.2018.03.072</w:t>
      </w:r>
    </w:p>
    <w:p w14:paraId="717A3558"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Ma, L., &amp; Sun, B. (2020). Machine learning and AI in marketing – Connecting computing power to human insights. </w:t>
      </w:r>
      <w:r w:rsidRPr="00AA0346">
        <w:rPr>
          <w:rFonts w:ascii="Gulliver" w:hAnsi="Gulliver" w:cs="Times New Roman"/>
          <w:i/>
          <w:iCs/>
          <w:noProof/>
          <w:sz w:val="20"/>
          <w:szCs w:val="24"/>
        </w:rPr>
        <w:t>International Journal of Research in Marketing</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37</w:t>
      </w:r>
      <w:r w:rsidRPr="00AA0346">
        <w:rPr>
          <w:rFonts w:ascii="Gulliver" w:hAnsi="Gulliver" w:cs="Times New Roman"/>
          <w:noProof/>
          <w:sz w:val="20"/>
          <w:szCs w:val="24"/>
        </w:rPr>
        <w:t>(3), 481–504. https://doi.org/https://doi.org/10.1016/j.ijresmar.2020.04.005</w:t>
      </w:r>
    </w:p>
    <w:p w14:paraId="785D688D"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Martínez, A., Schmuck, C., Pereverzyev, S., Pirker, C., &amp; Haltmeier, M. (2020). A machine learning framework for customer purchase prediction in the non-contractual setting. </w:t>
      </w:r>
      <w:r w:rsidRPr="00AA0346">
        <w:rPr>
          <w:rFonts w:ascii="Gulliver" w:hAnsi="Gulliver" w:cs="Times New Roman"/>
          <w:i/>
          <w:iCs/>
          <w:noProof/>
          <w:sz w:val="20"/>
          <w:szCs w:val="24"/>
        </w:rPr>
        <w:t>European Journal of Operational Research</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281</w:t>
      </w:r>
      <w:r w:rsidRPr="00AA0346">
        <w:rPr>
          <w:rFonts w:ascii="Gulliver" w:hAnsi="Gulliver" w:cs="Times New Roman"/>
          <w:noProof/>
          <w:sz w:val="20"/>
          <w:szCs w:val="24"/>
        </w:rPr>
        <w:t>(3), 588–596. https://doi.org/https://doi.org/10.1016/j.ejor.2018.04.034</w:t>
      </w:r>
    </w:p>
    <w:p w14:paraId="3280E588"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Mohamad Suhaili, S., Salim, N., &amp; Jambli, M. N. (2021). Service chatbots: A systematic review. </w:t>
      </w:r>
      <w:r w:rsidRPr="00AA0346">
        <w:rPr>
          <w:rFonts w:ascii="Gulliver" w:hAnsi="Gulliver" w:cs="Times New Roman"/>
          <w:i/>
          <w:iCs/>
          <w:noProof/>
          <w:sz w:val="20"/>
          <w:szCs w:val="24"/>
        </w:rPr>
        <w:t>Expert Systems with Applications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184</w:t>
      </w:r>
      <w:r w:rsidRPr="00AA0346">
        <w:rPr>
          <w:rFonts w:ascii="Gulliver" w:hAnsi="Gulliver" w:cs="Times New Roman"/>
          <w:noProof/>
          <w:sz w:val="20"/>
          <w:szCs w:val="24"/>
        </w:rPr>
        <w:t>, 115461. https://doi.org/https://doi.org/10.1016/j.eswa.2021.115461</w:t>
      </w:r>
    </w:p>
    <w:p w14:paraId="15F25312"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Ngai, E. W. T., &amp; Wu, Y. (2022). Machine learning in marketing: A literature review, conceptual framework, and research agenda. </w:t>
      </w:r>
      <w:r w:rsidRPr="00AA0346">
        <w:rPr>
          <w:rFonts w:ascii="Gulliver" w:hAnsi="Gulliver" w:cs="Times New Roman"/>
          <w:i/>
          <w:iCs/>
          <w:noProof/>
          <w:sz w:val="20"/>
          <w:szCs w:val="24"/>
        </w:rPr>
        <w:t>Journal of Business Research</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145</w:t>
      </w:r>
      <w:r w:rsidRPr="00AA0346">
        <w:rPr>
          <w:rFonts w:ascii="Gulliver" w:hAnsi="Gulliver" w:cs="Times New Roman"/>
          <w:noProof/>
          <w:sz w:val="20"/>
          <w:szCs w:val="24"/>
        </w:rPr>
        <w:t>, 35–48. https://doi.org/https://doi.org/10.1016/j.jbusres.2022.02.049</w:t>
      </w:r>
    </w:p>
    <w:p w14:paraId="0C69AA04"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Paschou, T., Rapaccini, M., Adrodegari, F., &amp; Saccani, N. (2020). Digital servitization in manufacturing: A systematic </w:t>
      </w:r>
      <w:r w:rsidRPr="00AA0346">
        <w:rPr>
          <w:rFonts w:ascii="Gulliver" w:hAnsi="Gulliver" w:cs="Times New Roman"/>
          <w:noProof/>
          <w:sz w:val="20"/>
          <w:szCs w:val="24"/>
        </w:rPr>
        <w:lastRenderedPageBreak/>
        <w:t xml:space="preserve">literature review and research agenda. </w:t>
      </w:r>
      <w:r w:rsidRPr="00AA0346">
        <w:rPr>
          <w:rFonts w:ascii="Gulliver" w:hAnsi="Gulliver" w:cs="Times New Roman"/>
          <w:i/>
          <w:iCs/>
          <w:noProof/>
          <w:sz w:val="20"/>
          <w:szCs w:val="24"/>
        </w:rPr>
        <w:t>Industrial Marketing Management</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89</w:t>
      </w:r>
      <w:r w:rsidRPr="00AA0346">
        <w:rPr>
          <w:rFonts w:ascii="Gulliver" w:hAnsi="Gulliver" w:cs="Times New Roman"/>
          <w:noProof/>
          <w:sz w:val="20"/>
          <w:szCs w:val="24"/>
        </w:rPr>
        <w:t>, 278–292. https://doi.org/https://doi.org/10.1016/j.indmarman.2020.02.012</w:t>
      </w:r>
    </w:p>
    <w:p w14:paraId="4CAC1213"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Prentice, C., Weaven, S., &amp; Wong, I. A. (2020). Linking AI quality performance and customer engagement: The moderating effect of AI preference. </w:t>
      </w:r>
      <w:r w:rsidRPr="00AA0346">
        <w:rPr>
          <w:rFonts w:ascii="Gulliver" w:hAnsi="Gulliver" w:cs="Times New Roman"/>
          <w:i/>
          <w:iCs/>
          <w:noProof/>
          <w:sz w:val="20"/>
          <w:szCs w:val="24"/>
        </w:rPr>
        <w:t>International Journal of Hospitality Management</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90</w:t>
      </w:r>
      <w:r w:rsidRPr="00AA0346">
        <w:rPr>
          <w:rFonts w:ascii="Gulliver" w:hAnsi="Gulliver" w:cs="Times New Roman"/>
          <w:noProof/>
          <w:sz w:val="20"/>
          <w:szCs w:val="24"/>
        </w:rPr>
        <w:t>, 102629. https://doi.org/https://doi.org/10.1016/j.ijhm.2020.102629</w:t>
      </w:r>
    </w:p>
    <w:p w14:paraId="003E4CB5"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Quinn, T. P., Jacobs, S., Senadeera, M., Le, V., &amp; Coghlan, S. (2022). The three ghosts of medical AI: Can the black-box present deliver? </w:t>
      </w:r>
      <w:r w:rsidRPr="00AA0346">
        <w:rPr>
          <w:rFonts w:ascii="Gulliver" w:hAnsi="Gulliver" w:cs="Times New Roman"/>
          <w:i/>
          <w:iCs/>
          <w:noProof/>
          <w:sz w:val="20"/>
          <w:szCs w:val="24"/>
        </w:rPr>
        <w:t>Artificial Intelligence in Medicine</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124</w:t>
      </w:r>
      <w:r w:rsidRPr="00AA0346">
        <w:rPr>
          <w:rFonts w:ascii="Gulliver" w:hAnsi="Gulliver" w:cs="Times New Roman"/>
          <w:noProof/>
          <w:sz w:val="20"/>
          <w:szCs w:val="24"/>
        </w:rPr>
        <w:t>, 102158. https://doi.org/https://doi.org/10.1016/j.artmed.2021.102158</w:t>
      </w:r>
    </w:p>
    <w:p w14:paraId="71115B25"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Rasheed, K., Qayyum, A., Ghaly, M., Al-Fuqaha, A., Razi, A., &amp; Qadir, J. (2022). Explainable, trustworthy, and ethical machine learning for healthcare: A survey. </w:t>
      </w:r>
      <w:r w:rsidRPr="00AA0346">
        <w:rPr>
          <w:rFonts w:ascii="Gulliver" w:hAnsi="Gulliver" w:cs="Times New Roman"/>
          <w:i/>
          <w:iCs/>
          <w:noProof/>
          <w:sz w:val="20"/>
          <w:szCs w:val="24"/>
        </w:rPr>
        <w:t>Computers in Biology and Medicine</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149</w:t>
      </w:r>
      <w:r w:rsidRPr="00AA0346">
        <w:rPr>
          <w:rFonts w:ascii="Gulliver" w:hAnsi="Gulliver" w:cs="Times New Roman"/>
          <w:noProof/>
          <w:sz w:val="20"/>
          <w:szCs w:val="24"/>
        </w:rPr>
        <w:t>, 106043. https://doi.org/https://doi.org/10.1016/j.compbiomed.2022.106043</w:t>
      </w:r>
    </w:p>
    <w:p w14:paraId="41E29EC4"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Reilly, C. A. (2021). Reading risk: Preparing students to develop critical digital literacies and advocate for privacy in digital spaces. </w:t>
      </w:r>
      <w:r w:rsidRPr="00AA0346">
        <w:rPr>
          <w:rFonts w:ascii="Gulliver" w:hAnsi="Gulliver" w:cs="Times New Roman"/>
          <w:i/>
          <w:iCs/>
          <w:noProof/>
          <w:sz w:val="20"/>
          <w:szCs w:val="24"/>
        </w:rPr>
        <w:t>Computers and Composition</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61</w:t>
      </w:r>
      <w:r w:rsidRPr="00AA0346">
        <w:rPr>
          <w:rFonts w:ascii="Gulliver" w:hAnsi="Gulliver" w:cs="Times New Roman"/>
          <w:noProof/>
          <w:sz w:val="20"/>
          <w:szCs w:val="24"/>
        </w:rPr>
        <w:t>, 102652. https://doi.org/https://doi.org/10.1016/j.compcom.2021.102652</w:t>
      </w:r>
    </w:p>
    <w:p w14:paraId="2DF1A4E3"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Shahraki, A., Abbasi, M., Taherkordi, A., &amp; Jurcut, A. D. (2022). A comparative study on online machine learning techniques for network traffic streams analysis. </w:t>
      </w:r>
      <w:r w:rsidRPr="00AA0346">
        <w:rPr>
          <w:rFonts w:ascii="Gulliver" w:hAnsi="Gulliver" w:cs="Times New Roman"/>
          <w:i/>
          <w:iCs/>
          <w:noProof/>
          <w:sz w:val="20"/>
          <w:szCs w:val="24"/>
        </w:rPr>
        <w:t>Computer Networks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207</w:t>
      </w:r>
      <w:r w:rsidRPr="00AA0346">
        <w:rPr>
          <w:rFonts w:ascii="Gulliver" w:hAnsi="Gulliver" w:cs="Times New Roman"/>
          <w:noProof/>
          <w:sz w:val="20"/>
          <w:szCs w:val="24"/>
        </w:rPr>
        <w:t>, 108836. https://doi.org/https://doi.org/10.1016/j.comnet.2022.108836</w:t>
      </w:r>
    </w:p>
    <w:p w14:paraId="2A4F7095"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Shrestha, Y. R., Krishna, V., &amp; von Krogh, G. (2021). Augmenting organizational decision-making with deep learning algorithms: Principles, promises, and challenges. </w:t>
      </w:r>
      <w:r w:rsidRPr="00AA0346">
        <w:rPr>
          <w:rFonts w:ascii="Gulliver" w:hAnsi="Gulliver" w:cs="Times New Roman"/>
          <w:i/>
          <w:iCs/>
          <w:noProof/>
          <w:sz w:val="20"/>
          <w:szCs w:val="24"/>
        </w:rPr>
        <w:t>Journal of Business Research</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123</w:t>
      </w:r>
      <w:r w:rsidRPr="00AA0346">
        <w:rPr>
          <w:rFonts w:ascii="Gulliver" w:hAnsi="Gulliver" w:cs="Times New Roman"/>
          <w:noProof/>
          <w:sz w:val="20"/>
          <w:szCs w:val="24"/>
        </w:rPr>
        <w:t>, 588–603. https://doi.org/https://doi.org/10.1016/j.jbusres.2020.09.068</w:t>
      </w:r>
    </w:p>
    <w:p w14:paraId="449ECEFB"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Singh, V., Chen, S.-S., Singhania, M., Nanavati, B., kar, A. kumar, &amp; Gupta, A. (2022). How are reinforcement learning and deep learning algorithms used for big data based decision making in financial industries–A review and research agenda. </w:t>
      </w:r>
      <w:r w:rsidRPr="00AA0346">
        <w:rPr>
          <w:rFonts w:ascii="Gulliver" w:hAnsi="Gulliver" w:cs="Times New Roman"/>
          <w:i/>
          <w:iCs/>
          <w:noProof/>
          <w:sz w:val="20"/>
          <w:szCs w:val="24"/>
        </w:rPr>
        <w:t>International Journal of Information Management Data Insights</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2</w:t>
      </w:r>
      <w:r w:rsidRPr="00AA0346">
        <w:rPr>
          <w:rFonts w:ascii="Gulliver" w:hAnsi="Gulliver" w:cs="Times New Roman"/>
          <w:noProof/>
          <w:sz w:val="20"/>
          <w:szCs w:val="24"/>
        </w:rPr>
        <w:t>(2), 100094. https://doi.org/https://doi.org/10.1016/j.jjimei.2022.100094</w:t>
      </w:r>
    </w:p>
    <w:p w14:paraId="1B775EA2"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Soleymani, M., Garcia, D., Jou, B., Schuller, B., Chang, S.-F., &amp; Pantic, M. (2017). A survey of multimodal sentiment analysis. </w:t>
      </w:r>
      <w:r w:rsidRPr="00AA0346">
        <w:rPr>
          <w:rFonts w:ascii="Gulliver" w:hAnsi="Gulliver" w:cs="Times New Roman"/>
          <w:i/>
          <w:iCs/>
          <w:noProof/>
          <w:sz w:val="20"/>
          <w:szCs w:val="24"/>
        </w:rPr>
        <w:t>Image and Vision Computing</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65</w:t>
      </w:r>
      <w:r w:rsidRPr="00AA0346">
        <w:rPr>
          <w:rFonts w:ascii="Gulliver" w:hAnsi="Gulliver" w:cs="Times New Roman"/>
          <w:noProof/>
          <w:sz w:val="20"/>
          <w:szCs w:val="24"/>
        </w:rPr>
        <w:t>, 3–14. https://doi.org/https://doi.org/10.1016/j.imavis.2017.08.003</w:t>
      </w:r>
    </w:p>
    <w:p w14:paraId="4D763276"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T.K., B., Annavarapu, C. S. R., &amp; Bablani, A. (2021). Machine learning algorithms for social media analysis: A survey. </w:t>
      </w:r>
      <w:r w:rsidRPr="00AA0346">
        <w:rPr>
          <w:rFonts w:ascii="Gulliver" w:hAnsi="Gulliver" w:cs="Times New Roman"/>
          <w:i/>
          <w:iCs/>
          <w:noProof/>
          <w:sz w:val="20"/>
          <w:szCs w:val="24"/>
        </w:rPr>
        <w:t>Computer Science Review</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40</w:t>
      </w:r>
      <w:r w:rsidRPr="00AA0346">
        <w:rPr>
          <w:rFonts w:ascii="Gulliver" w:hAnsi="Gulliver" w:cs="Times New Roman"/>
          <w:noProof/>
          <w:sz w:val="20"/>
          <w:szCs w:val="24"/>
        </w:rPr>
        <w:t>, 100395. https://doi.org/https://doi.org/10.1016/j.cosrev.2021.100395</w:t>
      </w:r>
    </w:p>
    <w:p w14:paraId="4A7AA8E4"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Vinod, B. (2022). </w:t>
      </w:r>
      <w:r w:rsidRPr="00AA0346">
        <w:rPr>
          <w:rFonts w:ascii="Gulliver" w:hAnsi="Gulliver" w:cs="Times New Roman"/>
          <w:i/>
          <w:iCs/>
          <w:noProof/>
          <w:sz w:val="20"/>
          <w:szCs w:val="24"/>
        </w:rPr>
        <w:t>Artificial Intelligence and Emerging Technologies in Hospitality BT  - Revenue Management in the Lodging Industry: Origins to the Last Frontier</w:t>
      </w:r>
      <w:r w:rsidRPr="00AA0346">
        <w:rPr>
          <w:rFonts w:ascii="Gulliver" w:hAnsi="Gulliver" w:cs="Times New Roman"/>
          <w:noProof/>
          <w:sz w:val="20"/>
          <w:szCs w:val="24"/>
        </w:rPr>
        <w:t xml:space="preserve"> (B. Vinod (ed.); pp. 279–313). Springer International Publishing. https://doi.org/10.1007/978-3-031-14302-1_9</w:t>
      </w:r>
    </w:p>
    <w:p w14:paraId="5EAE0C5E"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Xing, Y., Liu, Y., &amp; Davies, P. (2023). Servitization innovation: A systematic review, integrative framework, and future research directions. </w:t>
      </w:r>
      <w:r w:rsidRPr="00AA0346">
        <w:rPr>
          <w:rFonts w:ascii="Gulliver" w:hAnsi="Gulliver" w:cs="Times New Roman"/>
          <w:i/>
          <w:iCs/>
          <w:noProof/>
          <w:sz w:val="20"/>
          <w:szCs w:val="24"/>
        </w:rPr>
        <w:t>Technovation</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122</w:t>
      </w:r>
      <w:r w:rsidRPr="00AA0346">
        <w:rPr>
          <w:rFonts w:ascii="Gulliver" w:hAnsi="Gulliver" w:cs="Times New Roman"/>
          <w:noProof/>
          <w:sz w:val="20"/>
          <w:szCs w:val="24"/>
        </w:rPr>
        <w:t>, 102641. https://doi.org/https://doi.org/10.1016/j.technovation.2022.102641</w:t>
      </w:r>
    </w:p>
    <w:p w14:paraId="561D4E4F"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cs="Times New Roman"/>
          <w:noProof/>
          <w:sz w:val="20"/>
          <w:szCs w:val="24"/>
        </w:rPr>
      </w:pPr>
      <w:r w:rsidRPr="00AA0346">
        <w:rPr>
          <w:rFonts w:ascii="Gulliver" w:hAnsi="Gulliver" w:cs="Times New Roman"/>
          <w:noProof/>
          <w:sz w:val="20"/>
          <w:szCs w:val="24"/>
        </w:rPr>
        <w:t xml:space="preserve">Yang, C.-H. H., &amp; Siniscalchi, S. M. (2024). </w:t>
      </w:r>
      <w:r w:rsidRPr="00AA0346">
        <w:rPr>
          <w:rFonts w:ascii="Gulliver" w:hAnsi="Gulliver" w:cs="Times New Roman"/>
          <w:i/>
          <w:iCs/>
          <w:noProof/>
          <w:sz w:val="20"/>
          <w:szCs w:val="24"/>
        </w:rPr>
        <w:t>Chapter 20 - Federated learning for privacy-preserving speech recognition</w:t>
      </w:r>
      <w:r w:rsidRPr="00AA0346">
        <w:rPr>
          <w:rFonts w:ascii="Gulliver" w:hAnsi="Gulliver" w:cs="Times New Roman"/>
          <w:noProof/>
          <w:sz w:val="20"/>
          <w:szCs w:val="24"/>
        </w:rPr>
        <w:t xml:space="preserve"> (L. M. Nguyen, T. N. Hoang, &amp; P.-Y. B. T.-F. L. Chen (eds.); pp. 353–368). Academic Press. https://doi.org/https://doi.org/10.1016/B978-0-44-319037-7.00030-2</w:t>
      </w:r>
    </w:p>
    <w:p w14:paraId="3D521693" w14:textId="77777777" w:rsidR="00AA0346" w:rsidRPr="00AA0346" w:rsidRDefault="00AA0346" w:rsidP="00AA0346">
      <w:pPr>
        <w:widowControl w:val="0"/>
        <w:autoSpaceDE w:val="0"/>
        <w:autoSpaceDN w:val="0"/>
        <w:adjustRightInd w:val="0"/>
        <w:spacing w:before="120" w:after="120" w:line="23" w:lineRule="atLeast"/>
        <w:ind w:left="480" w:hanging="480"/>
        <w:jc w:val="both"/>
        <w:rPr>
          <w:rFonts w:ascii="Gulliver" w:hAnsi="Gulliver"/>
          <w:noProof/>
          <w:sz w:val="20"/>
        </w:rPr>
      </w:pPr>
      <w:r w:rsidRPr="00AA0346">
        <w:rPr>
          <w:rFonts w:ascii="Gulliver" w:hAnsi="Gulliver" w:cs="Times New Roman"/>
          <w:noProof/>
          <w:sz w:val="20"/>
          <w:szCs w:val="24"/>
        </w:rPr>
        <w:t xml:space="preserve">Zhao, T., Ran, Y., Wu, B., Lynette Wang, V., Zhou, L., &amp; Lu Wang, C. (2024). Virtual versus human: Unraveling consumer reactions to service failures through influencer types. </w:t>
      </w:r>
      <w:r w:rsidRPr="00AA0346">
        <w:rPr>
          <w:rFonts w:ascii="Gulliver" w:hAnsi="Gulliver" w:cs="Times New Roman"/>
          <w:i/>
          <w:iCs/>
          <w:noProof/>
          <w:sz w:val="20"/>
          <w:szCs w:val="24"/>
        </w:rPr>
        <w:t>Journal of Business Research</w:t>
      </w:r>
      <w:r w:rsidRPr="00AA0346">
        <w:rPr>
          <w:rFonts w:ascii="Gulliver" w:hAnsi="Gulliver" w:cs="Times New Roman"/>
          <w:noProof/>
          <w:sz w:val="20"/>
          <w:szCs w:val="24"/>
        </w:rPr>
        <w:t xml:space="preserve">, </w:t>
      </w:r>
      <w:r w:rsidRPr="00AA0346">
        <w:rPr>
          <w:rFonts w:ascii="Gulliver" w:hAnsi="Gulliver" w:cs="Times New Roman"/>
          <w:i/>
          <w:iCs/>
          <w:noProof/>
          <w:sz w:val="20"/>
          <w:szCs w:val="24"/>
        </w:rPr>
        <w:t>178</w:t>
      </w:r>
      <w:r w:rsidRPr="00AA0346">
        <w:rPr>
          <w:rFonts w:ascii="Gulliver" w:hAnsi="Gulliver" w:cs="Times New Roman"/>
          <w:noProof/>
          <w:sz w:val="20"/>
          <w:szCs w:val="24"/>
        </w:rPr>
        <w:t>, 114657. https://doi.org/https://doi.org/10.1016/j.jbusres.2024.114657</w:t>
      </w:r>
    </w:p>
    <w:p w14:paraId="650E2CE7" w14:textId="13E67D8B" w:rsidR="00BC1C62" w:rsidRPr="00F3125F" w:rsidRDefault="00304A77" w:rsidP="00AA0346">
      <w:pPr>
        <w:spacing w:before="120" w:after="120" w:line="23" w:lineRule="atLeast"/>
        <w:jc w:val="both"/>
        <w:rPr>
          <w:rFonts w:ascii="Gulliver" w:hAnsi="Gulliver"/>
          <w:sz w:val="20"/>
          <w:szCs w:val="20"/>
        </w:rPr>
      </w:pPr>
      <w:r>
        <w:rPr>
          <w:rFonts w:ascii="Gulliver" w:hAnsi="Gulliver"/>
          <w:sz w:val="20"/>
          <w:szCs w:val="20"/>
        </w:rPr>
        <w:fldChar w:fldCharType="end"/>
      </w:r>
    </w:p>
    <w:sectPr w:rsidR="00BC1C62" w:rsidRPr="00F3125F" w:rsidSect="009D6955">
      <w:type w:val="continuous"/>
      <w:pgSz w:w="11907" w:h="16839"/>
      <w:pgMar w:top="1701" w:right="850" w:bottom="1701" w:left="851" w:header="709" w:footer="709" w:gutter="0"/>
      <w:pgNumType w:start="234"/>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A21C2" w14:textId="77777777" w:rsidR="00765D3B" w:rsidRDefault="00765D3B" w:rsidP="00E605C5">
      <w:pPr>
        <w:spacing w:after="0" w:line="240" w:lineRule="auto"/>
      </w:pPr>
      <w:r>
        <w:separator/>
      </w:r>
    </w:p>
  </w:endnote>
  <w:endnote w:type="continuationSeparator" w:id="0">
    <w:p w14:paraId="1E637E1C" w14:textId="77777777" w:rsidR="00765D3B" w:rsidRDefault="00765D3B" w:rsidP="00E6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Gulliver">
    <w:altName w:val="Cambria"/>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Elsevier Sans">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ExtB">
    <w:panose1 w:val="02010609060101010101"/>
    <w:charset w:val="86"/>
    <w:family w:val="modern"/>
    <w:pitch w:val="fixed"/>
    <w:sig w:usb0="00000003" w:usb1="0A0E0000" w:usb2="00000010" w:usb3="00000000" w:csb0="00040001" w:csb1="00000000"/>
  </w:font>
  <w:font w:name="Century725 Cn BT">
    <w:panose1 w:val="02040506070705020204"/>
    <w:charset w:val="00"/>
    <w:family w:val="roman"/>
    <w:pitch w:val="variable"/>
    <w:sig w:usb0="800000AF" w:usb1="1000204A" w:usb2="00000000" w:usb3="00000000" w:csb0="0000001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B9AE1" w14:textId="77777777" w:rsidR="009D6955" w:rsidRDefault="009D6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273669"/>
      <w:docPartObj>
        <w:docPartGallery w:val="Page Numbers (Bottom of Page)"/>
        <w:docPartUnique/>
      </w:docPartObj>
    </w:sdtPr>
    <w:sdtEndPr>
      <w:rPr>
        <w:noProof/>
      </w:rPr>
    </w:sdtEndPr>
    <w:sdtContent>
      <w:p w14:paraId="0E177209" w14:textId="77777777" w:rsidR="00B34EF7" w:rsidRPr="00936178" w:rsidRDefault="00B34EF7" w:rsidP="00B34EF7">
        <w:pPr>
          <w:pStyle w:val="Footer"/>
          <w:ind w:left="1134"/>
          <w:rPr>
            <w:rFonts w:ascii="Gulliver" w:hAnsi="Gulliver"/>
            <w:color w:val="0D0D0D" w:themeColor="text1" w:themeTint="F2"/>
            <w:sz w:val="20"/>
            <w:szCs w:val="20"/>
          </w:rPr>
        </w:pPr>
        <w:r w:rsidRPr="00936178">
          <w:rPr>
            <w:rFonts w:ascii="Gulliver" w:hAnsi="Gulliver"/>
            <w:noProof/>
            <w:color w:val="FF0000"/>
            <w:sz w:val="20"/>
            <w:szCs w:val="20"/>
          </w:rPr>
          <w:drawing>
            <wp:anchor distT="0" distB="0" distL="114300" distR="114300" simplePos="0" relativeHeight="251664384" behindDoc="0" locked="0" layoutInCell="1" allowOverlap="1" wp14:anchorId="74BD969D" wp14:editId="2847F92D">
              <wp:simplePos x="0" y="0"/>
              <wp:positionH relativeFrom="column">
                <wp:posOffset>0</wp:posOffset>
              </wp:positionH>
              <wp:positionV relativeFrom="paragraph">
                <wp:posOffset>9525</wp:posOffset>
              </wp:positionV>
              <wp:extent cx="691515" cy="243205"/>
              <wp:effectExtent l="0" t="0" r="0"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243205"/>
                      </a:xfrm>
                      <a:prstGeom prst="rect">
                        <a:avLst/>
                      </a:prstGeom>
                      <a:noFill/>
                    </pic:spPr>
                  </pic:pic>
                </a:graphicData>
              </a:graphic>
            </wp:anchor>
          </w:drawing>
        </w:r>
        <w:hyperlink r:id="rId2" w:tgtFrame="_blank" w:history="1">
          <w:r w:rsidRPr="00936178">
            <w:rPr>
              <w:rStyle w:val="Hyperlink"/>
              <w:rFonts w:ascii="Gulliver" w:hAnsi="Gulliver"/>
              <w:color w:val="FF0000"/>
              <w:sz w:val="20"/>
              <w:szCs w:val="20"/>
              <w:u w:val="none"/>
            </w:rPr>
            <w:t>Researcher Academy Innovation Data Analysis (RAIDA) </w:t>
          </w:r>
        </w:hyperlink>
        <w:r w:rsidRPr="00936178">
          <w:rPr>
            <w:rFonts w:ascii="Gulliver" w:hAnsi="Gulliver"/>
            <w:color w:val="0D0D0D" w:themeColor="text1" w:themeTint="F2"/>
            <w:sz w:val="20"/>
            <w:szCs w:val="20"/>
          </w:rPr>
          <w:t>© 2024 by </w:t>
        </w:r>
        <w:proofErr w:type="spellStart"/>
        <w:r w:rsidRPr="00936178">
          <w:fldChar w:fldCharType="begin"/>
        </w:r>
        <w:r w:rsidRPr="00936178">
          <w:rPr>
            <w:rFonts w:ascii="Gulliver" w:hAnsi="Gulliver"/>
            <w:sz w:val="20"/>
            <w:szCs w:val="20"/>
          </w:rPr>
          <w:instrText xml:space="preserve"> HYPERLINK "https://analysisdata.co.id/" \t "_blank" </w:instrText>
        </w:r>
        <w:r w:rsidRPr="00936178">
          <w:fldChar w:fldCharType="separate"/>
        </w:r>
        <w:r w:rsidRPr="00936178">
          <w:rPr>
            <w:rStyle w:val="Hyperlink"/>
            <w:rFonts w:ascii="Gulliver" w:hAnsi="Gulliver"/>
            <w:color w:val="0D0D0D" w:themeColor="text1" w:themeTint="F2"/>
            <w:sz w:val="20"/>
            <w:szCs w:val="20"/>
            <w:u w:val="none"/>
          </w:rPr>
          <w:t>Inovasi</w:t>
        </w:r>
        <w:proofErr w:type="spellEnd"/>
        <w:r w:rsidRPr="00936178">
          <w:rPr>
            <w:rStyle w:val="Hyperlink"/>
            <w:rFonts w:ascii="Gulliver" w:hAnsi="Gulliver"/>
            <w:color w:val="0D0D0D" w:themeColor="text1" w:themeTint="F2"/>
            <w:sz w:val="20"/>
            <w:szCs w:val="20"/>
            <w:u w:val="none"/>
          </w:rPr>
          <w:t xml:space="preserve"> </w:t>
        </w:r>
        <w:proofErr w:type="spellStart"/>
        <w:r w:rsidRPr="00936178">
          <w:rPr>
            <w:rStyle w:val="Hyperlink"/>
            <w:rFonts w:ascii="Gulliver" w:hAnsi="Gulliver"/>
            <w:color w:val="0D0D0D" w:themeColor="text1" w:themeTint="F2"/>
            <w:sz w:val="20"/>
            <w:szCs w:val="20"/>
            <w:u w:val="none"/>
          </w:rPr>
          <w:t>Analisis</w:t>
        </w:r>
        <w:proofErr w:type="spellEnd"/>
        <w:r w:rsidRPr="00936178">
          <w:rPr>
            <w:rStyle w:val="Hyperlink"/>
            <w:rFonts w:ascii="Gulliver" w:hAnsi="Gulliver"/>
            <w:color w:val="0D0D0D" w:themeColor="text1" w:themeTint="F2"/>
            <w:sz w:val="20"/>
            <w:szCs w:val="20"/>
            <w:u w:val="none"/>
          </w:rPr>
          <w:t xml:space="preserve"> Data </w:t>
        </w:r>
        <w:r w:rsidRPr="00936178">
          <w:rPr>
            <w:rStyle w:val="Hyperlink"/>
            <w:rFonts w:ascii="Gulliver" w:hAnsi="Gulliver"/>
            <w:color w:val="0D0D0D" w:themeColor="text1" w:themeTint="F2"/>
            <w:sz w:val="20"/>
            <w:szCs w:val="20"/>
            <w:u w:val="none"/>
          </w:rPr>
          <w:fldChar w:fldCharType="end"/>
        </w:r>
        <w:r w:rsidRPr="00936178">
          <w:rPr>
            <w:rFonts w:ascii="Gulliver" w:hAnsi="Gulliver"/>
            <w:color w:val="0D0D0D" w:themeColor="text1" w:themeTint="F2"/>
            <w:sz w:val="20"/>
            <w:szCs w:val="20"/>
          </w:rPr>
          <w:t>is licensed under </w:t>
        </w:r>
        <w:hyperlink r:id="rId3" w:tgtFrame="_blank" w:history="1">
          <w:r w:rsidRPr="00936178">
            <w:rPr>
              <w:rStyle w:val="Hyperlink"/>
              <w:rFonts w:ascii="Gulliver" w:hAnsi="Gulliver"/>
              <w:color w:val="0D0D0D" w:themeColor="text1" w:themeTint="F2"/>
              <w:sz w:val="20"/>
              <w:szCs w:val="20"/>
              <w:u w:val="none"/>
            </w:rPr>
            <w:t>CC BY-SA 4.0</w:t>
          </w:r>
        </w:hyperlink>
      </w:p>
      <w:p w14:paraId="64EFD37E" w14:textId="347E84E8" w:rsidR="00B34EF7" w:rsidRDefault="00B34EF7" w:rsidP="00B34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278963"/>
      <w:docPartObj>
        <w:docPartGallery w:val="Page Numbers (Bottom of Page)"/>
        <w:docPartUnique/>
      </w:docPartObj>
    </w:sdtPr>
    <w:sdtEndPr>
      <w:rPr>
        <w:noProof/>
      </w:rPr>
    </w:sdtEndPr>
    <w:sdtContent>
      <w:p w14:paraId="1C3C274B" w14:textId="77777777" w:rsidR="00B34EF7" w:rsidRPr="00936178" w:rsidRDefault="00B34EF7" w:rsidP="00B34EF7">
        <w:pPr>
          <w:pStyle w:val="Footer"/>
          <w:ind w:left="1134"/>
          <w:rPr>
            <w:rFonts w:ascii="Gulliver" w:hAnsi="Gulliver"/>
            <w:color w:val="0D0D0D" w:themeColor="text1" w:themeTint="F2"/>
            <w:sz w:val="20"/>
            <w:szCs w:val="20"/>
          </w:rPr>
        </w:pPr>
        <w:r w:rsidRPr="00936178">
          <w:rPr>
            <w:rFonts w:ascii="Gulliver" w:hAnsi="Gulliver"/>
            <w:noProof/>
            <w:color w:val="FF0000"/>
            <w:sz w:val="20"/>
            <w:szCs w:val="20"/>
          </w:rPr>
          <w:drawing>
            <wp:anchor distT="0" distB="0" distL="114300" distR="114300" simplePos="0" relativeHeight="251662336" behindDoc="0" locked="0" layoutInCell="1" allowOverlap="1" wp14:anchorId="30D3339A" wp14:editId="316F55C4">
              <wp:simplePos x="0" y="0"/>
              <wp:positionH relativeFrom="column">
                <wp:posOffset>0</wp:posOffset>
              </wp:positionH>
              <wp:positionV relativeFrom="paragraph">
                <wp:posOffset>9525</wp:posOffset>
              </wp:positionV>
              <wp:extent cx="691515" cy="243205"/>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243205"/>
                      </a:xfrm>
                      <a:prstGeom prst="rect">
                        <a:avLst/>
                      </a:prstGeom>
                      <a:noFill/>
                    </pic:spPr>
                  </pic:pic>
                </a:graphicData>
              </a:graphic>
            </wp:anchor>
          </w:drawing>
        </w:r>
        <w:hyperlink r:id="rId2" w:tgtFrame="_blank" w:history="1">
          <w:r w:rsidRPr="00936178">
            <w:rPr>
              <w:rStyle w:val="Hyperlink"/>
              <w:rFonts w:ascii="Gulliver" w:hAnsi="Gulliver"/>
              <w:color w:val="FF0000"/>
              <w:sz w:val="20"/>
              <w:szCs w:val="20"/>
              <w:u w:val="none"/>
            </w:rPr>
            <w:t>Researcher Academy Innovation Data Analysis (RAIDA) </w:t>
          </w:r>
        </w:hyperlink>
        <w:r w:rsidRPr="00936178">
          <w:rPr>
            <w:rFonts w:ascii="Gulliver" w:hAnsi="Gulliver"/>
            <w:color w:val="0D0D0D" w:themeColor="text1" w:themeTint="F2"/>
            <w:sz w:val="20"/>
            <w:szCs w:val="20"/>
          </w:rPr>
          <w:t>© 2024 by </w:t>
        </w:r>
        <w:proofErr w:type="spellStart"/>
        <w:r w:rsidRPr="00936178">
          <w:fldChar w:fldCharType="begin"/>
        </w:r>
        <w:r w:rsidRPr="00936178">
          <w:rPr>
            <w:rFonts w:ascii="Gulliver" w:hAnsi="Gulliver"/>
            <w:sz w:val="20"/>
            <w:szCs w:val="20"/>
          </w:rPr>
          <w:instrText xml:space="preserve"> HYPERLINK "https://analysisdata.co.id/" \t "_blank" </w:instrText>
        </w:r>
        <w:r w:rsidRPr="00936178">
          <w:fldChar w:fldCharType="separate"/>
        </w:r>
        <w:r w:rsidRPr="00936178">
          <w:rPr>
            <w:rStyle w:val="Hyperlink"/>
            <w:rFonts w:ascii="Gulliver" w:hAnsi="Gulliver"/>
            <w:color w:val="0D0D0D" w:themeColor="text1" w:themeTint="F2"/>
            <w:sz w:val="20"/>
            <w:szCs w:val="20"/>
            <w:u w:val="none"/>
          </w:rPr>
          <w:t>Inovasi</w:t>
        </w:r>
        <w:proofErr w:type="spellEnd"/>
        <w:r w:rsidRPr="00936178">
          <w:rPr>
            <w:rStyle w:val="Hyperlink"/>
            <w:rFonts w:ascii="Gulliver" w:hAnsi="Gulliver"/>
            <w:color w:val="0D0D0D" w:themeColor="text1" w:themeTint="F2"/>
            <w:sz w:val="20"/>
            <w:szCs w:val="20"/>
            <w:u w:val="none"/>
          </w:rPr>
          <w:t xml:space="preserve"> </w:t>
        </w:r>
        <w:proofErr w:type="spellStart"/>
        <w:r w:rsidRPr="00936178">
          <w:rPr>
            <w:rStyle w:val="Hyperlink"/>
            <w:rFonts w:ascii="Gulliver" w:hAnsi="Gulliver"/>
            <w:color w:val="0D0D0D" w:themeColor="text1" w:themeTint="F2"/>
            <w:sz w:val="20"/>
            <w:szCs w:val="20"/>
            <w:u w:val="none"/>
          </w:rPr>
          <w:t>Analisis</w:t>
        </w:r>
        <w:proofErr w:type="spellEnd"/>
        <w:r w:rsidRPr="00936178">
          <w:rPr>
            <w:rStyle w:val="Hyperlink"/>
            <w:rFonts w:ascii="Gulliver" w:hAnsi="Gulliver"/>
            <w:color w:val="0D0D0D" w:themeColor="text1" w:themeTint="F2"/>
            <w:sz w:val="20"/>
            <w:szCs w:val="20"/>
            <w:u w:val="none"/>
          </w:rPr>
          <w:t xml:space="preserve"> Data </w:t>
        </w:r>
        <w:r w:rsidRPr="00936178">
          <w:rPr>
            <w:rStyle w:val="Hyperlink"/>
            <w:rFonts w:ascii="Gulliver" w:hAnsi="Gulliver"/>
            <w:color w:val="0D0D0D" w:themeColor="text1" w:themeTint="F2"/>
            <w:sz w:val="20"/>
            <w:szCs w:val="20"/>
            <w:u w:val="none"/>
          </w:rPr>
          <w:fldChar w:fldCharType="end"/>
        </w:r>
        <w:r w:rsidRPr="00936178">
          <w:rPr>
            <w:rFonts w:ascii="Gulliver" w:hAnsi="Gulliver"/>
            <w:color w:val="0D0D0D" w:themeColor="text1" w:themeTint="F2"/>
            <w:sz w:val="20"/>
            <w:szCs w:val="20"/>
          </w:rPr>
          <w:t>is licensed under </w:t>
        </w:r>
        <w:hyperlink r:id="rId3" w:tgtFrame="_blank" w:history="1">
          <w:r w:rsidRPr="00936178">
            <w:rPr>
              <w:rStyle w:val="Hyperlink"/>
              <w:rFonts w:ascii="Gulliver" w:hAnsi="Gulliver"/>
              <w:color w:val="0D0D0D" w:themeColor="text1" w:themeTint="F2"/>
              <w:sz w:val="20"/>
              <w:szCs w:val="20"/>
              <w:u w:val="none"/>
            </w:rPr>
            <w:t>CC BY-SA 4.0</w:t>
          </w:r>
        </w:hyperlink>
      </w:p>
      <w:p w14:paraId="67A930E5" w14:textId="4ABC31E6" w:rsidR="00B34EF7" w:rsidRDefault="00B34EF7" w:rsidP="00B34E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0244A" w14:textId="77777777" w:rsidR="00765D3B" w:rsidRDefault="00765D3B" w:rsidP="00E605C5">
      <w:pPr>
        <w:spacing w:after="0" w:line="240" w:lineRule="auto"/>
      </w:pPr>
      <w:r>
        <w:separator/>
      </w:r>
    </w:p>
  </w:footnote>
  <w:footnote w:type="continuationSeparator" w:id="0">
    <w:p w14:paraId="63D03C17" w14:textId="77777777" w:rsidR="00765D3B" w:rsidRDefault="00765D3B" w:rsidP="00E6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9A2B2" w14:textId="77777777" w:rsidR="009D6955" w:rsidRDefault="009D6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22F22" w14:textId="77777777" w:rsidR="00F3125F" w:rsidRPr="00754757" w:rsidRDefault="00F3125F" w:rsidP="00F3125F">
    <w:pPr>
      <w:pStyle w:val="Header"/>
      <w:jc w:val="right"/>
      <w:rPr>
        <w:rFonts w:ascii="Gulliver" w:hAnsi="Gulliver"/>
        <w:color w:val="000000" w:themeColor="text1"/>
        <w:sz w:val="12"/>
        <w:szCs w:val="12"/>
      </w:rPr>
    </w:pPr>
    <w:r w:rsidRPr="00754757">
      <w:rPr>
        <w:rFonts w:ascii="Gulliver" w:hAnsi="Gulliver"/>
        <w:noProof/>
        <w:sz w:val="12"/>
        <w:szCs w:val="12"/>
      </w:rPr>
      <w:drawing>
        <wp:anchor distT="0" distB="0" distL="114300" distR="114300" simplePos="0" relativeHeight="251667456" behindDoc="0" locked="0" layoutInCell="1" allowOverlap="1" wp14:anchorId="127A9C8E" wp14:editId="04D4BC45">
          <wp:simplePos x="0" y="0"/>
          <wp:positionH relativeFrom="column">
            <wp:posOffset>-47625</wp:posOffset>
          </wp:positionH>
          <wp:positionV relativeFrom="paragraph">
            <wp:posOffset>-143510</wp:posOffset>
          </wp:positionV>
          <wp:extent cx="809625" cy="306345"/>
          <wp:effectExtent l="0" t="0" r="0" b="0"/>
          <wp:wrapNone/>
          <wp:docPr id="10" name="Picture 10" descr="Open Access Policy | KONSTAN - JURNAL FISIKA DAN PENDIDIKAN FISIK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Open Access Policy | KONSTAN - JURNAL FISIKA DAN PENDIDIKAN FISIK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06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4757">
      <w:rPr>
        <w:rFonts w:ascii="Gulliver" w:hAnsi="Gulliver"/>
        <w:noProof/>
        <w:color w:val="000000" w:themeColor="text1"/>
        <w:sz w:val="12"/>
        <w:szCs w:val="12"/>
      </w:rPr>
      <mc:AlternateContent>
        <mc:Choice Requires="wps">
          <w:drawing>
            <wp:anchor distT="0" distB="0" distL="114300" distR="114300" simplePos="0" relativeHeight="251666432" behindDoc="0" locked="0" layoutInCell="1" allowOverlap="1" wp14:anchorId="70475DE2" wp14:editId="7CE9977E">
              <wp:simplePos x="0" y="0"/>
              <wp:positionH relativeFrom="column">
                <wp:posOffset>-710565</wp:posOffset>
              </wp:positionH>
              <wp:positionV relativeFrom="paragraph">
                <wp:posOffset>-478790</wp:posOffset>
              </wp:positionV>
              <wp:extent cx="428625" cy="942975"/>
              <wp:effectExtent l="0" t="0" r="9525" b="9525"/>
              <wp:wrapNone/>
              <wp:docPr id="6" name="Rectangle 6"/>
              <wp:cNvGraphicFramePr/>
              <a:graphic xmlns:a="http://schemas.openxmlformats.org/drawingml/2006/main">
                <a:graphicData uri="http://schemas.microsoft.com/office/word/2010/wordprocessingShape">
                  <wps:wsp>
                    <wps:cNvSpPr/>
                    <wps:spPr>
                      <a:xfrm>
                        <a:off x="0" y="0"/>
                        <a:ext cx="428625" cy="942975"/>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136F29" id="Rectangle 6" o:spid="_x0000_s1026" style="position:absolute;margin-left:-55.95pt;margin-top:-37.7pt;width:33.75pt;height:7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" fillcolor="#f90" stroked="f" strokeweight="1pt"/>
          </w:pict>
        </mc:Fallback>
      </mc:AlternateContent>
    </w:r>
    <w:r w:rsidRPr="00754757">
      <w:rPr>
        <w:rFonts w:ascii="Gulliver" w:hAnsi="Gulliver"/>
        <w:color w:val="000000" w:themeColor="text1"/>
        <w:sz w:val="12"/>
        <w:szCs w:val="12"/>
      </w:rPr>
      <w:t xml:space="preserve">E-ISSN: </w:t>
    </w:r>
    <w:r w:rsidRPr="00E91883">
      <w:rPr>
        <w:rFonts w:ascii="Gulliver" w:hAnsi="Gulliver"/>
        <w:color w:val="000000" w:themeColor="text1"/>
        <w:sz w:val="12"/>
        <w:szCs w:val="12"/>
      </w:rPr>
      <w:t>3063-0304</w:t>
    </w:r>
    <w:r w:rsidRPr="00754757">
      <w:rPr>
        <w:rFonts w:ascii="Gulliver" w:hAnsi="Gulliver"/>
        <w:color w:val="000000" w:themeColor="text1"/>
        <w:sz w:val="12"/>
        <w:szCs w:val="12"/>
      </w:rPr>
      <w:t xml:space="preserve">, P-ISSN: </w:t>
    </w:r>
    <w:r w:rsidRPr="00E91883">
      <w:rPr>
        <w:rFonts w:ascii="Gulliver" w:hAnsi="Gulliver"/>
        <w:color w:val="000000" w:themeColor="text1"/>
        <w:sz w:val="12"/>
        <w:szCs w:val="12"/>
      </w:rPr>
      <w:t>3063</w:t>
    </w:r>
    <w:r w:rsidRPr="00754757">
      <w:rPr>
        <w:rFonts w:ascii="Gulliver" w:hAnsi="Gulliver"/>
        <w:color w:val="000000" w:themeColor="text1"/>
        <w:sz w:val="12"/>
        <w:szCs w:val="12"/>
      </w:rPr>
      <w:t>-</w:t>
    </w:r>
    <w:r>
      <w:rPr>
        <w:rFonts w:ascii="Gulliver" w:hAnsi="Gulliver"/>
        <w:color w:val="000000" w:themeColor="text1"/>
        <w:sz w:val="12"/>
        <w:szCs w:val="12"/>
      </w:rPr>
      <w:t>1092</w:t>
    </w:r>
  </w:p>
  <w:p w14:paraId="0DD6ED11" w14:textId="1ECA8A87" w:rsidR="00F3125F" w:rsidRPr="00754757" w:rsidRDefault="00765D3B" w:rsidP="00F3125F">
    <w:pPr>
      <w:pStyle w:val="Header"/>
      <w:tabs>
        <w:tab w:val="clear" w:pos="4513"/>
        <w:tab w:val="clear" w:pos="9026"/>
      </w:tabs>
      <w:jc w:val="right"/>
      <w:rPr>
        <w:rFonts w:ascii="Gulliver" w:hAnsi="Gulliver"/>
        <w:color w:val="000000" w:themeColor="text1"/>
        <w:sz w:val="12"/>
        <w:szCs w:val="12"/>
      </w:rPr>
    </w:pPr>
    <w:hyperlink r:id="rId3" w:tgtFrame="_blank" w:history="1">
      <w:r w:rsidR="00F3125F" w:rsidRPr="00754757">
        <w:rPr>
          <w:rStyle w:val="Hyperlink"/>
          <w:rFonts w:ascii="Gulliver" w:hAnsi="Gulliver"/>
          <w:color w:val="000000" w:themeColor="text1"/>
          <w:sz w:val="12"/>
          <w:szCs w:val="12"/>
          <w:u w:val="none"/>
        </w:rPr>
        <w:t>Researcher Academy Innovation Data Analysis (RAIDA) </w:t>
      </w:r>
    </w:hyperlink>
    <w:r w:rsidR="00F3125F" w:rsidRPr="00754757">
      <w:rPr>
        <w:rFonts w:ascii="Gulliver" w:hAnsi="Gulliver"/>
        <w:color w:val="000000" w:themeColor="text1"/>
        <w:sz w:val="12"/>
        <w:szCs w:val="12"/>
      </w:rPr>
      <w:t>Vol 1, No. 2</w:t>
    </w:r>
    <w:r w:rsidR="00F3125F">
      <w:rPr>
        <w:rFonts w:ascii="Gulliver" w:hAnsi="Gulliver"/>
        <w:color w:val="000000" w:themeColor="text1"/>
        <w:sz w:val="12"/>
        <w:szCs w:val="12"/>
      </w:rPr>
      <w:t>,</w:t>
    </w:r>
    <w:r w:rsidR="00F3125F" w:rsidRPr="00754757">
      <w:rPr>
        <w:rFonts w:ascii="Gulliver" w:hAnsi="Gulliver"/>
        <w:color w:val="000000" w:themeColor="text1"/>
        <w:sz w:val="12"/>
        <w:szCs w:val="12"/>
      </w:rPr>
      <w:t xml:space="preserve"> September 2024, Page </w:t>
    </w:r>
    <w:r w:rsidR="00DC663C">
      <w:rPr>
        <w:rFonts w:ascii="Gulliver" w:hAnsi="Gulliver"/>
        <w:color w:val="000000" w:themeColor="text1"/>
        <w:sz w:val="12"/>
        <w:szCs w:val="12"/>
      </w:rPr>
      <w:t>227-2</w:t>
    </w:r>
    <w:r w:rsidR="009D6955">
      <w:rPr>
        <w:rFonts w:ascii="Gulliver" w:hAnsi="Gulliver"/>
        <w:color w:val="000000" w:themeColor="text1"/>
        <w:sz w:val="12"/>
        <w:szCs w:val="12"/>
      </w:rPr>
      <w:t>39</w:t>
    </w:r>
  </w:p>
  <w:p w14:paraId="0951641F" w14:textId="180F9642" w:rsidR="00F3125F" w:rsidRDefault="00F3125F" w:rsidP="00F3125F">
    <w:pPr>
      <w:pStyle w:val="Header"/>
      <w:tabs>
        <w:tab w:val="clear" w:pos="4513"/>
      </w:tabs>
      <w:jc w:val="right"/>
      <w:rPr>
        <w:rFonts w:ascii="Gulliver" w:hAnsi="Gulliver"/>
        <w:sz w:val="20"/>
        <w:szCs w:val="20"/>
      </w:rPr>
    </w:pPr>
    <w:r>
      <w:rPr>
        <w:rFonts w:ascii="Gulliver" w:eastAsia="SimSun-ExtB" w:hAnsi="Gulliver"/>
        <w:noProof/>
        <w:sz w:val="12"/>
        <w:szCs w:val="12"/>
        <w:shd w:val="clear" w:color="auto" w:fill="FFFFFF"/>
      </w:rPr>
      <w:drawing>
        <wp:inline distT="0" distB="0" distL="0" distR="0" wp14:anchorId="2865A84C" wp14:editId="5EF63842">
          <wp:extent cx="82550" cy="82550"/>
          <wp:effectExtent l="0" t="0" r="0" b="0"/>
          <wp:docPr id="11" name="Picture 1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754757">
      <w:rPr>
        <w:rFonts w:ascii="Gulliver" w:hAnsi="Gulliver"/>
        <w:sz w:val="12"/>
        <w:szCs w:val="12"/>
      </w:rPr>
      <w:t xml:space="preserve">  </w:t>
    </w:r>
    <w:r w:rsidRPr="00E91883">
      <w:rPr>
        <w:rFonts w:ascii="Gulliver" w:hAnsi="Gulliver"/>
        <w:sz w:val="12"/>
        <w:szCs w:val="12"/>
      </w:rPr>
      <w:t>https://doi.org/</w:t>
    </w:r>
    <w:r w:rsidR="00DC663C" w:rsidRPr="00DC663C">
      <w:rPr>
        <w:rFonts w:ascii="Gulliver" w:hAnsi="Gulliver"/>
        <w:sz w:val="12"/>
        <w:szCs w:val="12"/>
      </w:rPr>
      <w:t>10.69725/raida.v1i3.169</w:t>
    </w:r>
  </w:p>
  <w:p w14:paraId="7D8A0B87" w14:textId="77777777" w:rsidR="00F3125F" w:rsidRDefault="00F31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BD11" w14:textId="77777777" w:rsidR="00E605C5" w:rsidRPr="00754757" w:rsidRDefault="00E605C5" w:rsidP="00E605C5">
    <w:pPr>
      <w:pStyle w:val="Header"/>
      <w:jc w:val="right"/>
      <w:rPr>
        <w:rFonts w:ascii="Gulliver" w:hAnsi="Gulliver"/>
        <w:color w:val="000000" w:themeColor="text1"/>
        <w:sz w:val="12"/>
        <w:szCs w:val="12"/>
      </w:rPr>
    </w:pPr>
    <w:r w:rsidRPr="00754757">
      <w:rPr>
        <w:rFonts w:ascii="Gulliver" w:hAnsi="Gulliver"/>
        <w:noProof/>
        <w:sz w:val="12"/>
        <w:szCs w:val="12"/>
      </w:rPr>
      <w:drawing>
        <wp:anchor distT="0" distB="0" distL="114300" distR="114300" simplePos="0" relativeHeight="251660288" behindDoc="0" locked="0" layoutInCell="1" allowOverlap="1" wp14:anchorId="59624AE4" wp14:editId="2ADFEF36">
          <wp:simplePos x="0" y="0"/>
          <wp:positionH relativeFrom="column">
            <wp:posOffset>-47625</wp:posOffset>
          </wp:positionH>
          <wp:positionV relativeFrom="paragraph">
            <wp:posOffset>-143510</wp:posOffset>
          </wp:positionV>
          <wp:extent cx="809625" cy="306345"/>
          <wp:effectExtent l="0" t="0" r="0" b="0"/>
          <wp:wrapNone/>
          <wp:docPr id="13" name="Picture 13" descr="Open Access Policy | KONSTAN - JURNAL FISIKA DAN PENDIDIKAN FISIK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Picture 118" descr="Open Access Policy | KONSTAN - JURNAL FISIKA DAN PENDIDIKAN FISIKA">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25" cy="306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4757">
      <w:rPr>
        <w:rFonts w:ascii="Gulliver" w:hAnsi="Gulliver"/>
        <w:noProof/>
        <w:color w:val="000000" w:themeColor="text1"/>
        <w:sz w:val="12"/>
        <w:szCs w:val="12"/>
      </w:rPr>
      <mc:AlternateContent>
        <mc:Choice Requires="wps">
          <w:drawing>
            <wp:anchor distT="0" distB="0" distL="114300" distR="114300" simplePos="0" relativeHeight="251659264" behindDoc="0" locked="0" layoutInCell="1" allowOverlap="1" wp14:anchorId="6BE8B10C" wp14:editId="58DD0FAC">
              <wp:simplePos x="0" y="0"/>
              <wp:positionH relativeFrom="column">
                <wp:posOffset>-710565</wp:posOffset>
              </wp:positionH>
              <wp:positionV relativeFrom="paragraph">
                <wp:posOffset>-478790</wp:posOffset>
              </wp:positionV>
              <wp:extent cx="428625" cy="942975"/>
              <wp:effectExtent l="0" t="0" r="9525" b="9525"/>
              <wp:wrapNone/>
              <wp:docPr id="1" name="Rectangle 1"/>
              <wp:cNvGraphicFramePr/>
              <a:graphic xmlns:a="http://schemas.openxmlformats.org/drawingml/2006/main">
                <a:graphicData uri="http://schemas.microsoft.com/office/word/2010/wordprocessingShape">
                  <wps:wsp>
                    <wps:cNvSpPr/>
                    <wps:spPr>
                      <a:xfrm>
                        <a:off x="0" y="0"/>
                        <a:ext cx="428625" cy="942975"/>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195DBD" id="Rectangle 1" o:spid="_x0000_s1026" style="position:absolute;margin-left:-55.95pt;margin-top:-37.7pt;width:33.75pt;height:7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" fillcolor="#f90" stroked="f" strokeweight="1pt"/>
          </w:pict>
        </mc:Fallback>
      </mc:AlternateContent>
    </w:r>
    <w:r w:rsidRPr="00754757">
      <w:rPr>
        <w:rFonts w:ascii="Gulliver" w:hAnsi="Gulliver"/>
        <w:color w:val="000000" w:themeColor="text1"/>
        <w:sz w:val="12"/>
        <w:szCs w:val="12"/>
      </w:rPr>
      <w:t xml:space="preserve">E-ISSN: </w:t>
    </w:r>
    <w:r w:rsidRPr="00E91883">
      <w:rPr>
        <w:rFonts w:ascii="Gulliver" w:hAnsi="Gulliver"/>
        <w:color w:val="000000" w:themeColor="text1"/>
        <w:sz w:val="12"/>
        <w:szCs w:val="12"/>
      </w:rPr>
      <w:t>3063-0304</w:t>
    </w:r>
    <w:r w:rsidRPr="00754757">
      <w:rPr>
        <w:rFonts w:ascii="Gulliver" w:hAnsi="Gulliver"/>
        <w:color w:val="000000" w:themeColor="text1"/>
        <w:sz w:val="12"/>
        <w:szCs w:val="12"/>
      </w:rPr>
      <w:t xml:space="preserve">, P-ISSN: </w:t>
    </w:r>
    <w:r w:rsidRPr="00E91883">
      <w:rPr>
        <w:rFonts w:ascii="Gulliver" w:hAnsi="Gulliver"/>
        <w:color w:val="000000" w:themeColor="text1"/>
        <w:sz w:val="12"/>
        <w:szCs w:val="12"/>
      </w:rPr>
      <w:t>3063</w:t>
    </w:r>
    <w:r w:rsidRPr="00754757">
      <w:rPr>
        <w:rFonts w:ascii="Gulliver" w:hAnsi="Gulliver"/>
        <w:color w:val="000000" w:themeColor="text1"/>
        <w:sz w:val="12"/>
        <w:szCs w:val="12"/>
      </w:rPr>
      <w:t>-</w:t>
    </w:r>
    <w:r>
      <w:rPr>
        <w:rFonts w:ascii="Gulliver" w:hAnsi="Gulliver"/>
        <w:color w:val="000000" w:themeColor="text1"/>
        <w:sz w:val="12"/>
        <w:szCs w:val="12"/>
      </w:rPr>
      <w:t>1092</w:t>
    </w:r>
  </w:p>
  <w:p w14:paraId="1CD52618" w14:textId="666BBFE9" w:rsidR="00E605C5" w:rsidRPr="00754757" w:rsidRDefault="00765D3B" w:rsidP="00E605C5">
    <w:pPr>
      <w:pStyle w:val="Header"/>
      <w:tabs>
        <w:tab w:val="clear" w:pos="4513"/>
        <w:tab w:val="clear" w:pos="9026"/>
      </w:tabs>
      <w:jc w:val="right"/>
      <w:rPr>
        <w:rFonts w:ascii="Gulliver" w:hAnsi="Gulliver"/>
        <w:color w:val="000000" w:themeColor="text1"/>
        <w:sz w:val="12"/>
        <w:szCs w:val="12"/>
      </w:rPr>
    </w:pPr>
    <w:hyperlink r:id="rId3" w:tgtFrame="_blank" w:history="1">
      <w:r w:rsidR="00E605C5" w:rsidRPr="00754757">
        <w:rPr>
          <w:rStyle w:val="Hyperlink"/>
          <w:rFonts w:ascii="Gulliver" w:hAnsi="Gulliver"/>
          <w:color w:val="000000" w:themeColor="text1"/>
          <w:sz w:val="12"/>
          <w:szCs w:val="12"/>
          <w:u w:val="none"/>
        </w:rPr>
        <w:t>Researcher Academy Innovation Data Analysis (RAIDA) </w:t>
      </w:r>
    </w:hyperlink>
    <w:r w:rsidR="00E605C5" w:rsidRPr="00754757">
      <w:rPr>
        <w:rFonts w:ascii="Gulliver" w:hAnsi="Gulliver"/>
        <w:color w:val="000000" w:themeColor="text1"/>
        <w:sz w:val="12"/>
        <w:szCs w:val="12"/>
      </w:rPr>
      <w:t>Vol 1, No. 2</w:t>
    </w:r>
    <w:r w:rsidR="00E605C5">
      <w:rPr>
        <w:rFonts w:ascii="Gulliver" w:hAnsi="Gulliver"/>
        <w:color w:val="000000" w:themeColor="text1"/>
        <w:sz w:val="12"/>
        <w:szCs w:val="12"/>
      </w:rPr>
      <w:t>,</w:t>
    </w:r>
    <w:r w:rsidR="00E605C5" w:rsidRPr="00754757">
      <w:rPr>
        <w:rFonts w:ascii="Gulliver" w:hAnsi="Gulliver"/>
        <w:color w:val="000000" w:themeColor="text1"/>
        <w:sz w:val="12"/>
        <w:szCs w:val="12"/>
      </w:rPr>
      <w:t xml:space="preserve"> September 2024, Page </w:t>
    </w:r>
    <w:r w:rsidR="00AA0346">
      <w:rPr>
        <w:rFonts w:ascii="Gulliver" w:hAnsi="Gulliver"/>
        <w:color w:val="000000" w:themeColor="text1"/>
        <w:sz w:val="12"/>
        <w:szCs w:val="12"/>
      </w:rPr>
      <w:t>227-</w:t>
    </w:r>
    <w:r w:rsidR="00DC663C">
      <w:rPr>
        <w:rFonts w:ascii="Gulliver" w:hAnsi="Gulliver"/>
        <w:color w:val="000000" w:themeColor="text1"/>
        <w:sz w:val="12"/>
        <w:szCs w:val="12"/>
      </w:rPr>
      <w:t>2</w:t>
    </w:r>
    <w:r w:rsidR="009D6955">
      <w:rPr>
        <w:rFonts w:ascii="Gulliver" w:hAnsi="Gulliver"/>
        <w:color w:val="000000" w:themeColor="text1"/>
        <w:sz w:val="12"/>
        <w:szCs w:val="12"/>
      </w:rPr>
      <w:t>39</w:t>
    </w:r>
  </w:p>
  <w:p w14:paraId="3823364B" w14:textId="66514F1E" w:rsidR="00E605C5" w:rsidRDefault="00E605C5" w:rsidP="00E605C5">
    <w:pPr>
      <w:pStyle w:val="Header"/>
      <w:tabs>
        <w:tab w:val="clear" w:pos="4513"/>
      </w:tabs>
      <w:jc w:val="right"/>
      <w:rPr>
        <w:rFonts w:ascii="Gulliver" w:hAnsi="Gulliver"/>
        <w:sz w:val="20"/>
        <w:szCs w:val="20"/>
      </w:rPr>
    </w:pPr>
    <w:r>
      <w:rPr>
        <w:rFonts w:ascii="Gulliver" w:eastAsia="SimSun-ExtB" w:hAnsi="Gulliver"/>
        <w:noProof/>
        <w:sz w:val="12"/>
        <w:szCs w:val="12"/>
        <w:shd w:val="clear" w:color="auto" w:fill="FFFFFF"/>
      </w:rPr>
      <w:drawing>
        <wp:inline distT="0" distB="0" distL="0" distR="0" wp14:anchorId="33AF0C22" wp14:editId="5D71353D">
          <wp:extent cx="82550" cy="82550"/>
          <wp:effectExtent l="0" t="0" r="0" b="0"/>
          <wp:docPr id="14" name="Picture 1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w:r>
    <w:r w:rsidRPr="00754757">
      <w:rPr>
        <w:rFonts w:ascii="Gulliver" w:hAnsi="Gulliver"/>
        <w:sz w:val="12"/>
        <w:szCs w:val="12"/>
      </w:rPr>
      <w:t xml:space="preserve">  </w:t>
    </w:r>
    <w:r w:rsidRPr="00E91883">
      <w:rPr>
        <w:rFonts w:ascii="Gulliver" w:hAnsi="Gulliver"/>
        <w:sz w:val="12"/>
        <w:szCs w:val="12"/>
      </w:rPr>
      <w:t>https://doi.org/</w:t>
    </w:r>
    <w:r w:rsidR="00DC663C" w:rsidRPr="00DC663C">
      <w:rPr>
        <w:rFonts w:ascii="Gulliver" w:hAnsi="Gulliver"/>
        <w:sz w:val="12"/>
        <w:szCs w:val="12"/>
      </w:rPr>
      <w:t>10.69725/raida.v1i3.169</w:t>
    </w:r>
  </w:p>
  <w:p w14:paraId="39E6B157" w14:textId="77777777" w:rsidR="00E605C5" w:rsidRPr="00CD2AF1" w:rsidRDefault="00E605C5" w:rsidP="00E605C5">
    <w:pPr>
      <w:pStyle w:val="Header"/>
      <w:tabs>
        <w:tab w:val="clear" w:pos="4513"/>
      </w:tabs>
      <w:jc w:val="right"/>
      <w:rPr>
        <w:rFonts w:ascii="Century725 Cn BT" w:hAnsi="Century725 Cn BT"/>
        <w:sz w:val="20"/>
        <w:szCs w:val="20"/>
      </w:rPr>
    </w:pPr>
  </w:p>
  <w:p w14:paraId="622E2521" w14:textId="77777777" w:rsidR="00E605C5" w:rsidRDefault="00E605C5" w:rsidP="00E605C5">
    <w:pPr>
      <w:pStyle w:val="Header"/>
      <w:rPr>
        <w:noProof/>
      </w:rPr>
    </w:pPr>
    <w:r>
      <w:rPr>
        <w:noProof/>
      </w:rPr>
      <w:drawing>
        <wp:inline distT="0" distB="0" distL="0" distR="0" wp14:anchorId="5B144A89" wp14:editId="347C60C2">
          <wp:extent cx="6480810" cy="9912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6">
                    <a:extLst>
                      <a:ext uri="{28A0092B-C50C-407E-A947-70E740481C1C}">
                        <a14:useLocalDpi xmlns:a14="http://schemas.microsoft.com/office/drawing/2010/main" val="0"/>
                      </a:ext>
                    </a:extLst>
                  </a:blip>
                  <a:stretch>
                    <a:fillRect/>
                  </a:stretch>
                </pic:blipFill>
                <pic:spPr>
                  <a:xfrm>
                    <a:off x="0" y="0"/>
                    <a:ext cx="6480810" cy="991235"/>
                  </a:xfrm>
                  <a:prstGeom prst="rect">
                    <a:avLst/>
                  </a:prstGeom>
                </pic:spPr>
              </pic:pic>
            </a:graphicData>
          </a:graphic>
        </wp:inline>
      </w:drawing>
    </w:r>
  </w:p>
  <w:p w14:paraId="5C177EF1" w14:textId="77777777" w:rsidR="00E605C5" w:rsidRDefault="00E605C5" w:rsidP="00AA0346">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E0E8F"/>
    <w:multiLevelType w:val="hybridMultilevel"/>
    <w:tmpl w:val="BE3ED75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8505E8D"/>
    <w:multiLevelType w:val="hybridMultilevel"/>
    <w:tmpl w:val="6048235C"/>
    <w:lvl w:ilvl="0" w:tplc="04B878C8">
      <w:start w:val="1"/>
      <w:numFmt w:val="lowerLetter"/>
      <w:lvlText w:val="%1."/>
      <w:lvlJc w:val="left"/>
      <w:pPr>
        <w:ind w:left="720" w:hanging="360"/>
      </w:pPr>
      <w:rPr>
        <w:vertAlign w:val="superscrip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E140C3F"/>
    <w:multiLevelType w:val="multilevel"/>
    <w:tmpl w:val="9BBE4606"/>
    <w:lvl w:ilvl="0">
      <w:start w:val="1"/>
      <w:numFmt w:val="decimal"/>
      <w:lvlText w:val="%1."/>
      <w:lvlJc w:val="left"/>
      <w:pPr>
        <w:ind w:left="720" w:hanging="360"/>
      </w:pPr>
      <w:rPr>
        <w:rFonts w:ascii="Gulliver" w:hAnsi="Gulliver"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C5"/>
    <w:rsid w:val="001D073D"/>
    <w:rsid w:val="0030473D"/>
    <w:rsid w:val="00304A77"/>
    <w:rsid w:val="003576CC"/>
    <w:rsid w:val="00482793"/>
    <w:rsid w:val="00580AC1"/>
    <w:rsid w:val="005A2456"/>
    <w:rsid w:val="0062373E"/>
    <w:rsid w:val="006A5350"/>
    <w:rsid w:val="00765D3B"/>
    <w:rsid w:val="007804FC"/>
    <w:rsid w:val="007D7029"/>
    <w:rsid w:val="00832462"/>
    <w:rsid w:val="00835D5E"/>
    <w:rsid w:val="00996322"/>
    <w:rsid w:val="009D6955"/>
    <w:rsid w:val="009D6E52"/>
    <w:rsid w:val="00AA0346"/>
    <w:rsid w:val="00AB1C71"/>
    <w:rsid w:val="00AD3C00"/>
    <w:rsid w:val="00B34EF7"/>
    <w:rsid w:val="00B473BB"/>
    <w:rsid w:val="00BA0C08"/>
    <w:rsid w:val="00BC1C62"/>
    <w:rsid w:val="00C27454"/>
    <w:rsid w:val="00C70629"/>
    <w:rsid w:val="00D00A30"/>
    <w:rsid w:val="00D60FD2"/>
    <w:rsid w:val="00DC663C"/>
    <w:rsid w:val="00E605C5"/>
    <w:rsid w:val="00E75CF1"/>
    <w:rsid w:val="00EB3855"/>
    <w:rsid w:val="00EC126C"/>
    <w:rsid w:val="00F3125F"/>
    <w:rsid w:val="00F85E6D"/>
    <w:rsid w:val="00FF0C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05E21"/>
  <w15:chartTrackingRefBased/>
  <w15:docId w15:val="{F36714ED-67D5-49F2-9403-DC7BB1949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5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5C5"/>
  </w:style>
  <w:style w:type="paragraph" w:styleId="Footer">
    <w:name w:val="footer"/>
    <w:basedOn w:val="Normal"/>
    <w:link w:val="FooterChar"/>
    <w:uiPriority w:val="99"/>
    <w:unhideWhenUsed/>
    <w:rsid w:val="00E605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5C5"/>
  </w:style>
  <w:style w:type="character" w:styleId="Hyperlink">
    <w:name w:val="Hyperlink"/>
    <w:basedOn w:val="DefaultParagraphFont"/>
    <w:uiPriority w:val="99"/>
    <w:unhideWhenUsed/>
    <w:rsid w:val="00E605C5"/>
    <w:rPr>
      <w:color w:val="0563C1" w:themeColor="hyperlink"/>
      <w:u w:val="single"/>
    </w:rPr>
  </w:style>
  <w:style w:type="table" w:styleId="TableGrid">
    <w:name w:val="Table Grid"/>
    <w:basedOn w:val="TableNormal"/>
    <w:uiPriority w:val="39"/>
    <w:rsid w:val="00E6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0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2920">
      <w:bodyDiv w:val="1"/>
      <w:marLeft w:val="0"/>
      <w:marRight w:val="0"/>
      <w:marTop w:val="0"/>
      <w:marBottom w:val="0"/>
      <w:divBdr>
        <w:top w:val="none" w:sz="0" w:space="0" w:color="auto"/>
        <w:left w:val="none" w:sz="0" w:space="0" w:color="auto"/>
        <w:bottom w:val="none" w:sz="0" w:space="0" w:color="auto"/>
        <w:right w:val="none" w:sz="0" w:space="0" w:color="auto"/>
      </w:divBdr>
      <w:divsChild>
        <w:div w:id="581449999">
          <w:marLeft w:val="0"/>
          <w:marRight w:val="0"/>
          <w:marTop w:val="0"/>
          <w:marBottom w:val="0"/>
          <w:divBdr>
            <w:top w:val="none" w:sz="0" w:space="0" w:color="auto"/>
            <w:left w:val="none" w:sz="0" w:space="0" w:color="auto"/>
            <w:bottom w:val="none" w:sz="0" w:space="0" w:color="auto"/>
            <w:right w:val="none" w:sz="0" w:space="0" w:color="auto"/>
          </w:divBdr>
        </w:div>
      </w:divsChild>
    </w:div>
    <w:div w:id="228884195">
      <w:bodyDiv w:val="1"/>
      <w:marLeft w:val="0"/>
      <w:marRight w:val="0"/>
      <w:marTop w:val="0"/>
      <w:marBottom w:val="0"/>
      <w:divBdr>
        <w:top w:val="none" w:sz="0" w:space="0" w:color="auto"/>
        <w:left w:val="none" w:sz="0" w:space="0" w:color="auto"/>
        <w:bottom w:val="none" w:sz="0" w:space="0" w:color="auto"/>
        <w:right w:val="none" w:sz="0" w:space="0" w:color="auto"/>
      </w:divBdr>
    </w:div>
    <w:div w:id="456606479">
      <w:bodyDiv w:val="1"/>
      <w:marLeft w:val="0"/>
      <w:marRight w:val="0"/>
      <w:marTop w:val="0"/>
      <w:marBottom w:val="0"/>
      <w:divBdr>
        <w:top w:val="none" w:sz="0" w:space="0" w:color="auto"/>
        <w:left w:val="none" w:sz="0" w:space="0" w:color="auto"/>
        <w:bottom w:val="none" w:sz="0" w:space="0" w:color="auto"/>
        <w:right w:val="none" w:sz="0" w:space="0" w:color="auto"/>
      </w:divBdr>
    </w:div>
    <w:div w:id="689453604">
      <w:bodyDiv w:val="1"/>
      <w:marLeft w:val="0"/>
      <w:marRight w:val="0"/>
      <w:marTop w:val="0"/>
      <w:marBottom w:val="0"/>
      <w:divBdr>
        <w:top w:val="none" w:sz="0" w:space="0" w:color="auto"/>
        <w:left w:val="none" w:sz="0" w:space="0" w:color="auto"/>
        <w:bottom w:val="none" w:sz="0" w:space="0" w:color="auto"/>
        <w:right w:val="none" w:sz="0" w:space="0" w:color="auto"/>
      </w:divBdr>
    </w:div>
    <w:div w:id="855922257">
      <w:bodyDiv w:val="1"/>
      <w:marLeft w:val="0"/>
      <w:marRight w:val="0"/>
      <w:marTop w:val="0"/>
      <w:marBottom w:val="0"/>
      <w:divBdr>
        <w:top w:val="none" w:sz="0" w:space="0" w:color="auto"/>
        <w:left w:val="none" w:sz="0" w:space="0" w:color="auto"/>
        <w:bottom w:val="none" w:sz="0" w:space="0" w:color="auto"/>
        <w:right w:val="none" w:sz="0" w:space="0" w:color="auto"/>
      </w:divBdr>
    </w:div>
    <w:div w:id="984315167">
      <w:bodyDiv w:val="1"/>
      <w:marLeft w:val="0"/>
      <w:marRight w:val="0"/>
      <w:marTop w:val="0"/>
      <w:marBottom w:val="0"/>
      <w:divBdr>
        <w:top w:val="none" w:sz="0" w:space="0" w:color="auto"/>
        <w:left w:val="none" w:sz="0" w:space="0" w:color="auto"/>
        <w:bottom w:val="none" w:sz="0" w:space="0" w:color="auto"/>
        <w:right w:val="none" w:sz="0" w:space="0" w:color="auto"/>
      </w:divBdr>
    </w:div>
    <w:div w:id="1722098368">
      <w:bodyDiv w:val="1"/>
      <w:marLeft w:val="0"/>
      <w:marRight w:val="0"/>
      <w:marTop w:val="0"/>
      <w:marBottom w:val="0"/>
      <w:divBdr>
        <w:top w:val="none" w:sz="0" w:space="0" w:color="auto"/>
        <w:left w:val="none" w:sz="0" w:space="0" w:color="auto"/>
        <w:bottom w:val="none" w:sz="0" w:space="0" w:color="auto"/>
        <w:right w:val="none" w:sz="0" w:space="0" w:color="auto"/>
      </w:divBdr>
    </w:div>
    <w:div w:id="2068339266">
      <w:bodyDiv w:val="1"/>
      <w:marLeft w:val="0"/>
      <w:marRight w:val="0"/>
      <w:marTop w:val="0"/>
      <w:marBottom w:val="0"/>
      <w:divBdr>
        <w:top w:val="none" w:sz="0" w:space="0" w:color="auto"/>
        <w:left w:val="none" w:sz="0" w:space="0" w:color="auto"/>
        <w:bottom w:val="none" w:sz="0" w:space="0" w:color="auto"/>
        <w:right w:val="none" w:sz="0" w:space="0" w:color="auto"/>
      </w:divBdr>
    </w:div>
    <w:div w:id="2096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1393-6026" TargetMode="External"/><Relationship Id="rId13" Type="http://schemas.openxmlformats.org/officeDocument/2006/relationships/hyperlink" Target="mailto:ClaudeAssuntMudre@gmail.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ttps://analysisdata.co.id/index.php/SHMW/issue/view/24"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orcid.org/0009-0004-4455-781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sa/4.0/?ref=chooser-v1" TargetMode="External"/><Relationship Id="rId2" Type="http://schemas.openxmlformats.org/officeDocument/2006/relationships/hyperlink" Target="https://analysisdata.co.id/index.php/RAIDA" TargetMode="External"/><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ref=chooser-v1" TargetMode="External"/><Relationship Id="rId2" Type="http://schemas.openxmlformats.org/officeDocument/2006/relationships/hyperlink" Target="https://analysisdata.co.id/index.php/RAIDA" TargetMode="External"/><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hyperlink" Target="https://analysisdata.co.id/index.php/RAIDA" TargetMode="External"/><Relationship Id="rId2" Type="http://schemas.openxmlformats.org/officeDocument/2006/relationships/image" Target="media/image4.png"/><Relationship Id="rId1" Type="http://schemas.openxmlformats.org/officeDocument/2006/relationships/hyperlink" Target="https://analysisdata.co.id/index.php/RAIDA/OpenAccessStatement" TargetMode="External"/><Relationship Id="rId5" Type="http://schemas.openxmlformats.org/officeDocument/2006/relationships/image" Target="media/image5.png"/><Relationship Id="rId4" Type="http://schemas.openxmlformats.org/officeDocument/2006/relationships/hyperlink" Target="mailto:https://doi.org/10.69725/shmw.v1i3"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analysisdata.co.id/index.php/RAIDA" TargetMode="External"/><Relationship Id="rId2" Type="http://schemas.openxmlformats.org/officeDocument/2006/relationships/image" Target="media/image4.png"/><Relationship Id="rId1" Type="http://schemas.openxmlformats.org/officeDocument/2006/relationships/hyperlink" Target="https://analysisdata.co.id/index.php/RAIDA/OpenAccessStatement" TargetMode="External"/><Relationship Id="rId6" Type="http://schemas.openxmlformats.org/officeDocument/2006/relationships/image" Target="media/image7.jpg"/><Relationship Id="rId5" Type="http://schemas.openxmlformats.org/officeDocument/2006/relationships/image" Target="media/image5.png"/><Relationship Id="rId4" Type="http://schemas.openxmlformats.org/officeDocument/2006/relationships/hyperlink" Target="mailto:https://doi.org/10.69725/shmw.v1i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wnloads\Fenomena_Issue_AI_Marketing_with_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Trends in AI and Machine Learning Adoption (2019-2023)</a:t>
            </a:r>
          </a:p>
        </c:rich>
      </c:tx>
      <c:overlay val="0"/>
    </c:title>
    <c:autoTitleDeleted val="0"/>
    <c:plotArea>
      <c:layout/>
      <c:lineChart>
        <c:grouping val="standard"/>
        <c:varyColors val="0"/>
        <c:ser>
          <c:idx val="0"/>
          <c:order val="0"/>
          <c:tx>
            <c:strRef>
              <c:f>Data!$B$1</c:f>
              <c:strCache>
                <c:ptCount val="1"/>
                <c:pt idx="0">
                  <c:v>2019 (%)</c:v>
                </c:pt>
              </c:strCache>
            </c:strRef>
          </c:tx>
          <c:marker>
            <c:symbol val="none"/>
          </c:marker>
          <c:cat>
            <c:strRef>
              <c:f>Data!$A$2:$A$6</c:f>
              <c:strCache>
                <c:ptCount val="5"/>
                <c:pt idx="0">
                  <c:v>AI Adoption in Marketing</c:v>
                </c:pt>
                <c:pt idx="1">
                  <c:v>Machine Learning Usage</c:v>
                </c:pt>
                <c:pt idx="2">
                  <c:v>Personalized Marketing Trends</c:v>
                </c:pt>
                <c:pt idx="3">
                  <c:v>Customer Journey Optimization</c:v>
                </c:pt>
                <c:pt idx="4">
                  <c:v>Big Data Analytics in Marketing</c:v>
                </c:pt>
              </c:strCache>
            </c:strRef>
          </c:cat>
          <c:val>
            <c:numRef>
              <c:f>Data!$B$2:$B$6</c:f>
              <c:numCache>
                <c:formatCode>General</c:formatCode>
                <c:ptCount val="5"/>
                <c:pt idx="0">
                  <c:v>35</c:v>
                </c:pt>
                <c:pt idx="1">
                  <c:v>28</c:v>
                </c:pt>
                <c:pt idx="2">
                  <c:v>40</c:v>
                </c:pt>
                <c:pt idx="3">
                  <c:v>25</c:v>
                </c:pt>
                <c:pt idx="4">
                  <c:v>32</c:v>
                </c:pt>
              </c:numCache>
            </c:numRef>
          </c:val>
          <c:smooth val="0"/>
          <c:extLst>
            <c:ext xmlns:c16="http://schemas.microsoft.com/office/drawing/2014/chart" uri="{C3380CC4-5D6E-409C-BE32-E72D297353CC}">
              <c16:uniqueId val="{00000000-1244-4B87-B505-28A2F86B1C87}"/>
            </c:ext>
          </c:extLst>
        </c:ser>
        <c:ser>
          <c:idx val="1"/>
          <c:order val="1"/>
          <c:tx>
            <c:strRef>
              <c:f>Data!$C$1</c:f>
              <c:strCache>
                <c:ptCount val="1"/>
                <c:pt idx="0">
                  <c:v>2020 (%)</c:v>
                </c:pt>
              </c:strCache>
            </c:strRef>
          </c:tx>
          <c:marker>
            <c:symbol val="none"/>
          </c:marker>
          <c:cat>
            <c:strRef>
              <c:f>Data!$A$2:$A$6</c:f>
              <c:strCache>
                <c:ptCount val="5"/>
                <c:pt idx="0">
                  <c:v>AI Adoption in Marketing</c:v>
                </c:pt>
                <c:pt idx="1">
                  <c:v>Machine Learning Usage</c:v>
                </c:pt>
                <c:pt idx="2">
                  <c:v>Personalized Marketing Trends</c:v>
                </c:pt>
                <c:pt idx="3">
                  <c:v>Customer Journey Optimization</c:v>
                </c:pt>
                <c:pt idx="4">
                  <c:v>Big Data Analytics in Marketing</c:v>
                </c:pt>
              </c:strCache>
            </c:strRef>
          </c:cat>
          <c:val>
            <c:numRef>
              <c:f>Data!$C$2:$C$6</c:f>
              <c:numCache>
                <c:formatCode>General</c:formatCode>
                <c:ptCount val="5"/>
                <c:pt idx="0">
                  <c:v>45</c:v>
                </c:pt>
                <c:pt idx="1">
                  <c:v>35</c:v>
                </c:pt>
                <c:pt idx="2">
                  <c:v>50</c:v>
                </c:pt>
                <c:pt idx="3">
                  <c:v>30</c:v>
                </c:pt>
                <c:pt idx="4">
                  <c:v>40</c:v>
                </c:pt>
              </c:numCache>
            </c:numRef>
          </c:val>
          <c:smooth val="0"/>
          <c:extLst>
            <c:ext xmlns:c16="http://schemas.microsoft.com/office/drawing/2014/chart" uri="{C3380CC4-5D6E-409C-BE32-E72D297353CC}">
              <c16:uniqueId val="{00000001-1244-4B87-B505-28A2F86B1C87}"/>
            </c:ext>
          </c:extLst>
        </c:ser>
        <c:ser>
          <c:idx val="2"/>
          <c:order val="2"/>
          <c:tx>
            <c:strRef>
              <c:f>Data!$D$1</c:f>
              <c:strCache>
                <c:ptCount val="1"/>
                <c:pt idx="0">
                  <c:v>2021 (%)</c:v>
                </c:pt>
              </c:strCache>
            </c:strRef>
          </c:tx>
          <c:marker>
            <c:symbol val="none"/>
          </c:marker>
          <c:cat>
            <c:strRef>
              <c:f>Data!$A$2:$A$6</c:f>
              <c:strCache>
                <c:ptCount val="5"/>
                <c:pt idx="0">
                  <c:v>AI Adoption in Marketing</c:v>
                </c:pt>
                <c:pt idx="1">
                  <c:v>Machine Learning Usage</c:v>
                </c:pt>
                <c:pt idx="2">
                  <c:v>Personalized Marketing Trends</c:v>
                </c:pt>
                <c:pt idx="3">
                  <c:v>Customer Journey Optimization</c:v>
                </c:pt>
                <c:pt idx="4">
                  <c:v>Big Data Analytics in Marketing</c:v>
                </c:pt>
              </c:strCache>
            </c:strRef>
          </c:cat>
          <c:val>
            <c:numRef>
              <c:f>Data!$D$2:$D$6</c:f>
              <c:numCache>
                <c:formatCode>General</c:formatCode>
                <c:ptCount val="5"/>
                <c:pt idx="0">
                  <c:v>55</c:v>
                </c:pt>
                <c:pt idx="1">
                  <c:v>42</c:v>
                </c:pt>
                <c:pt idx="2">
                  <c:v>60</c:v>
                </c:pt>
                <c:pt idx="3">
                  <c:v>45</c:v>
                </c:pt>
                <c:pt idx="4">
                  <c:v>50</c:v>
                </c:pt>
              </c:numCache>
            </c:numRef>
          </c:val>
          <c:smooth val="0"/>
          <c:extLst>
            <c:ext xmlns:c16="http://schemas.microsoft.com/office/drawing/2014/chart" uri="{C3380CC4-5D6E-409C-BE32-E72D297353CC}">
              <c16:uniqueId val="{00000002-1244-4B87-B505-28A2F86B1C87}"/>
            </c:ext>
          </c:extLst>
        </c:ser>
        <c:ser>
          <c:idx val="3"/>
          <c:order val="3"/>
          <c:tx>
            <c:strRef>
              <c:f>Data!$E$1</c:f>
              <c:strCache>
                <c:ptCount val="1"/>
                <c:pt idx="0">
                  <c:v>2022 (%)</c:v>
                </c:pt>
              </c:strCache>
            </c:strRef>
          </c:tx>
          <c:marker>
            <c:symbol val="none"/>
          </c:marker>
          <c:cat>
            <c:strRef>
              <c:f>Data!$A$2:$A$6</c:f>
              <c:strCache>
                <c:ptCount val="5"/>
                <c:pt idx="0">
                  <c:v>AI Adoption in Marketing</c:v>
                </c:pt>
                <c:pt idx="1">
                  <c:v>Machine Learning Usage</c:v>
                </c:pt>
                <c:pt idx="2">
                  <c:v>Personalized Marketing Trends</c:v>
                </c:pt>
                <c:pt idx="3">
                  <c:v>Customer Journey Optimization</c:v>
                </c:pt>
                <c:pt idx="4">
                  <c:v>Big Data Analytics in Marketing</c:v>
                </c:pt>
              </c:strCache>
            </c:strRef>
          </c:cat>
          <c:val>
            <c:numRef>
              <c:f>Data!$E$2:$E$6</c:f>
              <c:numCache>
                <c:formatCode>General</c:formatCode>
                <c:ptCount val="5"/>
                <c:pt idx="0">
                  <c:v>65</c:v>
                </c:pt>
                <c:pt idx="1">
                  <c:v>50</c:v>
                </c:pt>
                <c:pt idx="2">
                  <c:v>70</c:v>
                </c:pt>
                <c:pt idx="3">
                  <c:v>60</c:v>
                </c:pt>
                <c:pt idx="4">
                  <c:v>65</c:v>
                </c:pt>
              </c:numCache>
            </c:numRef>
          </c:val>
          <c:smooth val="0"/>
          <c:extLst>
            <c:ext xmlns:c16="http://schemas.microsoft.com/office/drawing/2014/chart" uri="{C3380CC4-5D6E-409C-BE32-E72D297353CC}">
              <c16:uniqueId val="{00000003-1244-4B87-B505-28A2F86B1C87}"/>
            </c:ext>
          </c:extLst>
        </c:ser>
        <c:ser>
          <c:idx val="4"/>
          <c:order val="4"/>
          <c:tx>
            <c:strRef>
              <c:f>Data!$F$1</c:f>
              <c:strCache>
                <c:ptCount val="1"/>
                <c:pt idx="0">
                  <c:v>2023 (%)</c:v>
                </c:pt>
              </c:strCache>
            </c:strRef>
          </c:tx>
          <c:marker>
            <c:symbol val="none"/>
          </c:marker>
          <c:cat>
            <c:strRef>
              <c:f>Data!$A$2:$A$6</c:f>
              <c:strCache>
                <c:ptCount val="5"/>
                <c:pt idx="0">
                  <c:v>AI Adoption in Marketing</c:v>
                </c:pt>
                <c:pt idx="1">
                  <c:v>Machine Learning Usage</c:v>
                </c:pt>
                <c:pt idx="2">
                  <c:v>Personalized Marketing Trends</c:v>
                </c:pt>
                <c:pt idx="3">
                  <c:v>Customer Journey Optimization</c:v>
                </c:pt>
                <c:pt idx="4">
                  <c:v>Big Data Analytics in Marketing</c:v>
                </c:pt>
              </c:strCache>
            </c:strRef>
          </c:cat>
          <c:val>
            <c:numRef>
              <c:f>Data!$F$2:$F$6</c:f>
              <c:numCache>
                <c:formatCode>General</c:formatCode>
                <c:ptCount val="5"/>
                <c:pt idx="0">
                  <c:v>75</c:v>
                </c:pt>
                <c:pt idx="1">
                  <c:v>62</c:v>
                </c:pt>
                <c:pt idx="2">
                  <c:v>80</c:v>
                </c:pt>
                <c:pt idx="3">
                  <c:v>75</c:v>
                </c:pt>
                <c:pt idx="4">
                  <c:v>80</c:v>
                </c:pt>
              </c:numCache>
            </c:numRef>
          </c:val>
          <c:smooth val="0"/>
          <c:extLst>
            <c:ext xmlns:c16="http://schemas.microsoft.com/office/drawing/2014/chart" uri="{C3380CC4-5D6E-409C-BE32-E72D297353CC}">
              <c16:uniqueId val="{00000004-1244-4B87-B505-28A2F86B1C87}"/>
            </c:ext>
          </c:extLst>
        </c:ser>
        <c:dLbls>
          <c:showLegendKey val="0"/>
          <c:showVal val="0"/>
          <c:showCatName val="0"/>
          <c:showSerName val="0"/>
          <c:showPercent val="0"/>
          <c:showBubbleSize val="0"/>
        </c:dLbls>
        <c:smooth val="0"/>
        <c:axId val="50010001"/>
        <c:axId val="50010002"/>
      </c:lineChart>
      <c:catAx>
        <c:axId val="50010001"/>
        <c:scaling>
          <c:orientation val="minMax"/>
        </c:scaling>
        <c:delete val="0"/>
        <c:axPos val="b"/>
        <c:title>
          <c:tx>
            <c:rich>
              <a:bodyPr/>
              <a:lstStyle/>
              <a:p>
                <a:pPr>
                  <a:defRPr/>
                </a:pPr>
                <a:r>
                  <a:rPr lang="en-US"/>
                  <a:t>Phenomenon</a:t>
                </a:r>
              </a:p>
            </c:rich>
          </c:tx>
          <c:overlay val="0"/>
        </c:title>
        <c:numFmt formatCode="General" sourceLinked="0"/>
        <c:majorTickMark val="out"/>
        <c:minorTickMark val="none"/>
        <c:tickLblPos val="nextTo"/>
        <c:crossAx val="50010002"/>
        <c:crosses val="autoZero"/>
        <c:auto val="1"/>
        <c:lblAlgn val="ctr"/>
        <c:lblOffset val="100"/>
        <c:noMultiLvlLbl val="0"/>
      </c:catAx>
      <c:valAx>
        <c:axId val="50010002"/>
        <c:scaling>
          <c:orientation val="minMax"/>
        </c:scaling>
        <c:delete val="0"/>
        <c:axPos val="l"/>
        <c:majorGridlines/>
        <c:title>
          <c:tx>
            <c:rich>
              <a:bodyPr rot="-5400000" vert="horz"/>
              <a:lstStyle/>
              <a:p>
                <a:pPr>
                  <a:defRPr/>
                </a:pPr>
                <a:r>
                  <a:rPr lang="en-US"/>
                  <a:t>Adoption (%)</a:t>
                </a:r>
              </a:p>
            </c:rich>
          </c:tx>
          <c:overlay val="0"/>
        </c:title>
        <c:numFmt formatCode="General" sourceLinked="1"/>
        <c:majorTickMark val="out"/>
        <c:minorTickMark val="none"/>
        <c:tickLblPos val="nextTo"/>
        <c:crossAx val="50010001"/>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9BD2-D71E-42FA-B782-7D6006A16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24631</Words>
  <Characters>140397</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2024-12-28T19:07:00Z</dcterms:created>
  <dcterms:modified xsi:type="dcterms:W3CDTF">2024-12-28T19:07:00Z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http://csl.mendeley.com/styles/730565651/APA2</vt:lpwstr>
  </property>
  <property fmtid="{D5CDD505-2E9C-101B-9397-08002B2CF9AE}" pid="11" name="Mendeley Recent Style Name 4_1">
    <vt:lpwstr>American Sociological Association 6th edition - APA2 - Agus Dwianto Agus</vt:lpwstr>
  </property>
  <property fmtid="{D5CDD505-2E9C-101B-9397-08002B2CF9AE}" pid="12" name="Mendeley Recent Style Id 5_1">
    <vt:lpwstr>http://csl.mendeley.com/styles/730565651/APA4</vt:lpwstr>
  </property>
  <property fmtid="{D5CDD505-2E9C-101B-9397-08002B2CF9AE}" pid="13" name="Mendeley Recent Style Name 5_1">
    <vt:lpwstr>American Sociological Association 6th edition - APA3</vt:lpwstr>
  </property>
  <property fmtid="{D5CDD505-2E9C-101B-9397-08002B2CF9AE}" pid="14" name="Mendeley Recent Style Id 6_1">
    <vt:lpwstr>http://www.zotero.org/styles/elsevier-harvard</vt:lpwstr>
  </property>
  <property fmtid="{D5CDD505-2E9C-101B-9397-08002B2CF9AE}" pid="15" name="Mendeley Recent Style Name 6_1">
    <vt:lpwstr>Elsevier - Harvard (with titles)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ffb82673-4fba-39a0-8e75-474d32526ef1</vt:lpwstr>
  </property>
  <property fmtid="{D5CDD505-2E9C-101B-9397-08002B2CF9AE}" pid="24" name="Mendeley Citation Style_1">
    <vt:lpwstr>http://www.zotero.org/styles/apa</vt:lpwstr>
  </property>
</Properties>
</file>